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ED9F" w14:textId="77777777" w:rsidR="004314E4" w:rsidRDefault="004314E4" w:rsidP="000C0770">
      <w:pPr>
        <w:pStyle w:val="Title"/>
        <w:spacing w:before="960" w:after="240"/>
      </w:pPr>
      <w:r>
        <w:t>Instructions for Producing Camera-Ready</w:t>
      </w:r>
      <w:r>
        <w:br/>
        <w:t>Manuscript using mS-WORD FOR PUBLICATION IN</w:t>
      </w:r>
      <w:r>
        <w:br/>
      </w:r>
      <w:r w:rsidR="00653D48">
        <w:t>ICRES</w:t>
      </w:r>
      <w:r>
        <w:t xml:space="preserve"> CONFERENCE PROCEEDINGS</w:t>
      </w:r>
    </w:p>
    <w:p w14:paraId="1E4FB871" w14:textId="77777777" w:rsidR="00386F43" w:rsidRDefault="00386F43" w:rsidP="00386F43">
      <w:pPr>
        <w:pStyle w:val="Author"/>
      </w:pPr>
      <w:r>
        <w:t xml:space="preserve">FIRST AUTHOR </w:t>
      </w:r>
      <w:r w:rsidRPr="00671115">
        <w:rPr>
          <w:caps w:val="0"/>
        </w:rPr>
        <w:t>and</w:t>
      </w:r>
      <w:r>
        <w:t xml:space="preserve"> SECOND AUTHOR</w:t>
      </w:r>
    </w:p>
    <w:p w14:paraId="73638C0F" w14:textId="77777777" w:rsidR="00386F43" w:rsidRPr="00671115" w:rsidRDefault="00386F43" w:rsidP="00386F43">
      <w:pPr>
        <w:pStyle w:val="Affiliation"/>
        <w:spacing w:after="0"/>
      </w:pPr>
      <w:r>
        <w:t>University Department, University Name, Address</w:t>
      </w:r>
      <w:r>
        <w:br/>
      </w:r>
      <w:r w:rsidRPr="00671115">
        <w:t>City, State ZIP/Zone, Country</w:t>
      </w:r>
    </w:p>
    <w:p w14:paraId="4D010074" w14:textId="77777777" w:rsidR="004D4646" w:rsidRPr="00671115" w:rsidRDefault="004D4646" w:rsidP="004D4646">
      <w:pPr>
        <w:pStyle w:val="Abstract"/>
        <w:spacing w:before="0" w:after="0"/>
        <w:ind w:left="357" w:right="357"/>
        <w:jc w:val="center"/>
        <w:rPr>
          <w:i/>
          <w:szCs w:val="16"/>
          <w:lang w:val="pt-PT"/>
        </w:rPr>
      </w:pPr>
      <w:r w:rsidRPr="00671115">
        <w:rPr>
          <w:i/>
          <w:szCs w:val="16"/>
          <w:lang w:val="pt-PT"/>
        </w:rPr>
        <w:t>E-mail:  first_author@university.com</w:t>
      </w:r>
      <w:r>
        <w:rPr>
          <w:i/>
          <w:szCs w:val="16"/>
          <w:lang w:val="pt-PT"/>
        </w:rPr>
        <w:t>, second</w:t>
      </w:r>
      <w:r w:rsidRPr="00671115">
        <w:rPr>
          <w:i/>
          <w:szCs w:val="16"/>
          <w:lang w:val="pt-PT"/>
        </w:rPr>
        <w:t>_author@university.com</w:t>
      </w:r>
    </w:p>
    <w:p w14:paraId="3A7B3649" w14:textId="77777777" w:rsidR="00386F43" w:rsidRPr="00671115" w:rsidRDefault="00386F43" w:rsidP="00386F43">
      <w:pPr>
        <w:pStyle w:val="Abstract"/>
        <w:spacing w:before="0" w:after="320"/>
        <w:ind w:left="357" w:right="357"/>
        <w:jc w:val="center"/>
        <w:rPr>
          <w:i/>
          <w:szCs w:val="16"/>
        </w:rPr>
      </w:pPr>
      <w:r w:rsidRPr="00671115">
        <w:rPr>
          <w:i/>
          <w:szCs w:val="16"/>
        </w:rPr>
        <w:t>www.university name.edu</w:t>
      </w:r>
    </w:p>
    <w:p w14:paraId="23DE67B0" w14:textId="77777777" w:rsidR="00386F43" w:rsidRDefault="00386F43" w:rsidP="00386F43">
      <w:pPr>
        <w:pStyle w:val="Author"/>
      </w:pPr>
      <w:r>
        <w:t>another AUTHOR</w:t>
      </w:r>
    </w:p>
    <w:p w14:paraId="263C8442" w14:textId="77777777" w:rsidR="00386F43" w:rsidRDefault="00386F43" w:rsidP="00386F43">
      <w:pPr>
        <w:pStyle w:val="Affiliation"/>
        <w:spacing w:before="0" w:after="0"/>
      </w:pPr>
      <w:r>
        <w:t>Group, Laboratory, Address</w:t>
      </w:r>
      <w:r>
        <w:br/>
        <w:t>City, State ZIP/Zone, Country</w:t>
      </w:r>
    </w:p>
    <w:p w14:paraId="7AAAB017" w14:textId="77777777" w:rsidR="00386F43" w:rsidRPr="00671115" w:rsidRDefault="00386F43" w:rsidP="00386F43">
      <w:pPr>
        <w:pStyle w:val="Abstract"/>
        <w:spacing w:before="0" w:after="320"/>
        <w:ind w:left="357" w:right="357"/>
        <w:jc w:val="center"/>
        <w:rPr>
          <w:i/>
          <w:szCs w:val="16"/>
          <w:lang w:val="pt-PT"/>
        </w:rPr>
      </w:pPr>
      <w:r w:rsidRPr="00671115">
        <w:rPr>
          <w:i/>
          <w:szCs w:val="16"/>
          <w:lang w:val="pt-PT"/>
        </w:rPr>
        <w:t>E-mail:  another_author@university.com</w:t>
      </w:r>
    </w:p>
    <w:p w14:paraId="01325394" w14:textId="77777777" w:rsidR="004314E4" w:rsidRDefault="004314E4" w:rsidP="004314E4">
      <w:pPr>
        <w:pStyle w:val="Abstract"/>
      </w:pPr>
      <w:r>
        <w:t>This is where the abstract should be placed. It should consist of one paragraph giving a concise summary of the material in the article below. Replace the title, authors, and addresses with your own title, authors, and addresses. You may have as many authors and addresses as you like. It is preferable not to use footnotes in the abstract or the title; the acknowledgments of funding bodies etc. are to be placed in a separate section at the end of the text.</w:t>
      </w:r>
    </w:p>
    <w:p w14:paraId="02BCF391" w14:textId="77777777" w:rsidR="004314E4" w:rsidRDefault="004314E4" w:rsidP="004314E4">
      <w:pPr>
        <w:pStyle w:val="Heading1"/>
      </w:pPr>
      <w:r>
        <w:t>Guidelines</w:t>
      </w:r>
    </w:p>
    <w:p w14:paraId="25D8A7E4" w14:textId="77777777" w:rsidR="004314E4" w:rsidRDefault="004314E4" w:rsidP="004314E4">
      <w:pPr>
        <w:pStyle w:val="Heading2"/>
      </w:pPr>
      <w:r>
        <w:t>Producing Hard Copy Using MS-Word</w:t>
      </w:r>
    </w:p>
    <w:p w14:paraId="03ADAD3C" w14:textId="77777777" w:rsidR="004314E4" w:rsidRDefault="004314E4" w:rsidP="004314E4">
      <w:pPr>
        <w:pStyle w:val="spara"/>
      </w:pPr>
      <w:r>
        <w:t>You can delete our sample text and replace it with the text of your own contribution to the proceedings. However, we recommend that you keep an initial version of this file for reference.</w:t>
      </w:r>
    </w:p>
    <w:p w14:paraId="38DB81FE" w14:textId="77777777" w:rsidR="004314E4" w:rsidRDefault="004314E4" w:rsidP="004314E4">
      <w:pPr>
        <w:pStyle w:val="TextIndent"/>
      </w:pPr>
      <w:r>
        <w:t>Page numbers are not included - the final pagination of the volume will be done by the Publisher.</w:t>
      </w:r>
    </w:p>
    <w:p w14:paraId="5816CF64" w14:textId="77777777" w:rsidR="004314E4" w:rsidRDefault="004314E4" w:rsidP="004314E4">
      <w:pPr>
        <w:pStyle w:val="TextIndent"/>
      </w:pPr>
      <w:r w:rsidRPr="00471271">
        <w:t>If you want to use some other form of word-processor to construct your output, and you are using the final hard copy version of these files as guidelines; then please follow the style given here for headings, table and figure captions, and the footnote and citation marks. The book trim size will be 21 cm by 29.7 cm – standard A4 paper. The text area should be 13.4 cm by 22.1 cm, except for the first page. The text should be set in 10 </w:t>
      </w:r>
      <w:proofErr w:type="spellStart"/>
      <w:r w:rsidRPr="00471271">
        <w:t>pt</w:t>
      </w:r>
      <w:proofErr w:type="spellEnd"/>
      <w:r w:rsidRPr="00471271">
        <w:t xml:space="preserve"> roman with a leading (interline spacing) of 13 pt. Type the title of the paper in 11 </w:t>
      </w:r>
      <w:proofErr w:type="spellStart"/>
      <w:r w:rsidRPr="00471271">
        <w:t>pt</w:t>
      </w:r>
      <w:proofErr w:type="spellEnd"/>
      <w:r w:rsidRPr="00471271">
        <w:t xml:space="preserve"> boldface and in upper case. The 1</w:t>
      </w:r>
      <w:r w:rsidRPr="00471271">
        <w:rPr>
          <w:vertAlign w:val="superscript"/>
        </w:rPr>
        <w:t>st</w:t>
      </w:r>
      <w:r w:rsidRPr="00471271">
        <w:t xml:space="preserve"> section heading is in 10 </w:t>
      </w:r>
      <w:proofErr w:type="spellStart"/>
      <w:r w:rsidRPr="00471271">
        <w:t>pt</w:t>
      </w:r>
      <w:proofErr w:type="spellEnd"/>
      <w:r w:rsidRPr="00471271">
        <w:t xml:space="preserve"> boldface, upper and lower case. The 2</w:t>
      </w:r>
      <w:r w:rsidRPr="00471271">
        <w:rPr>
          <w:vertAlign w:val="superscript"/>
        </w:rPr>
        <w:t>nd</w:t>
      </w:r>
      <w:r w:rsidRPr="00471271">
        <w:t xml:space="preserve"> section heading is in 10 </w:t>
      </w:r>
      <w:proofErr w:type="spellStart"/>
      <w:r w:rsidRPr="00471271">
        <w:t>pt</w:t>
      </w:r>
      <w:proofErr w:type="spellEnd"/>
      <w:r w:rsidRPr="00471271">
        <w:t xml:space="preserve"> bold italic, upper and lower case. If there is a 3</w:t>
      </w:r>
      <w:r w:rsidRPr="00471271">
        <w:rPr>
          <w:vertAlign w:val="superscript"/>
        </w:rPr>
        <w:t>rd</w:t>
      </w:r>
      <w:r w:rsidRPr="00471271">
        <w:t xml:space="preserve"> section heading, then it should be 10 </w:t>
      </w:r>
      <w:proofErr w:type="spellStart"/>
      <w:r w:rsidRPr="00471271">
        <w:t>pt</w:t>
      </w:r>
      <w:proofErr w:type="spellEnd"/>
      <w:r w:rsidRPr="00471271">
        <w:t xml:space="preserve"> italic.</w:t>
      </w:r>
    </w:p>
    <w:p w14:paraId="7E1F16E0" w14:textId="77777777" w:rsidR="004314E4" w:rsidRDefault="004314E4" w:rsidP="004314E4">
      <w:pPr>
        <w:pStyle w:val="TextIndent"/>
      </w:pPr>
      <w:r>
        <w:t>Authors’ names are set in 9 </w:t>
      </w:r>
      <w:proofErr w:type="spellStart"/>
      <w:r>
        <w:t>pt</w:t>
      </w:r>
      <w:proofErr w:type="spellEnd"/>
      <w:r>
        <w:t xml:space="preserve"> and in upper case. Addresses are in 9 </w:t>
      </w:r>
      <w:proofErr w:type="spellStart"/>
      <w:r>
        <w:t>pt</w:t>
      </w:r>
      <w:proofErr w:type="spellEnd"/>
      <w:r>
        <w:t xml:space="preserve"> italics. The abstract, figure and table captions should be in 8 pt.</w:t>
      </w:r>
    </w:p>
    <w:p w14:paraId="09BD90A1" w14:textId="77777777" w:rsidR="004314E4" w:rsidRDefault="004314E4" w:rsidP="004314E4">
      <w:pPr>
        <w:pStyle w:val="TextIndent"/>
      </w:pPr>
      <w:r>
        <w:t>It is also important to reproduce the spacing of the text and headings as shown here. Text should be slightly more than single-spaced; use a leading (which is the average distance from the base of one line of text to the base of an adjacent line) of 13 </w:t>
      </w:r>
      <w:proofErr w:type="spellStart"/>
      <w:r>
        <w:t>pt</w:t>
      </w:r>
      <w:proofErr w:type="spellEnd"/>
      <w:r>
        <w:t xml:space="preserve"> and 10 </w:t>
      </w:r>
      <w:proofErr w:type="spellStart"/>
      <w:r>
        <w:t>pt</w:t>
      </w:r>
      <w:proofErr w:type="spellEnd"/>
      <w:r>
        <w:t xml:space="preserve"> for footnotes. All headings should be separated from the text preceding it by a vertical space of about 12 </w:t>
      </w:r>
      <w:proofErr w:type="spellStart"/>
      <w:r>
        <w:t>pt</w:t>
      </w:r>
      <w:proofErr w:type="spellEnd"/>
      <w:r>
        <w:t xml:space="preserve"> and by 6 </w:t>
      </w:r>
      <w:proofErr w:type="spellStart"/>
      <w:r>
        <w:t>pt</w:t>
      </w:r>
      <w:proofErr w:type="spellEnd"/>
      <w:r>
        <w:t xml:space="preserve"> from the subsequent text.</w:t>
      </w:r>
    </w:p>
    <w:p w14:paraId="486230B4" w14:textId="77777777" w:rsidR="004314E4" w:rsidRDefault="004314E4" w:rsidP="004314E4">
      <w:pPr>
        <w:pStyle w:val="TextIndent"/>
      </w:pPr>
      <w:r w:rsidRPr="00471271">
        <w:t>Paragraphs should have its first line indented by about 0.63 cm except where the paragraph is preceded by a heading and the abstract should be indented on both sides by 0.63 cm from the main body of the text.</w:t>
      </w:r>
    </w:p>
    <w:p w14:paraId="79F3366A" w14:textId="77777777" w:rsidR="004314E4" w:rsidRDefault="004314E4" w:rsidP="004314E4">
      <w:pPr>
        <w:pStyle w:val="Heading2"/>
      </w:pPr>
      <w:r>
        <w:lastRenderedPageBreak/>
        <w:t>Headings, Text and Equations</w:t>
      </w:r>
    </w:p>
    <w:p w14:paraId="027B7639" w14:textId="77777777" w:rsidR="004314E4" w:rsidRDefault="004314E4" w:rsidP="004314E4">
      <w:pPr>
        <w:pStyle w:val="spara"/>
      </w:pPr>
      <w:r>
        <w:t>Please preserve the style of the headings, text font and line spacing to provide a uniform style for the proceedings volume.</w:t>
      </w:r>
    </w:p>
    <w:p w14:paraId="557329F8" w14:textId="77777777" w:rsidR="004314E4" w:rsidRDefault="004314E4" w:rsidP="004314E4">
      <w:pPr>
        <w:pStyle w:val="TextIndent"/>
      </w:pPr>
      <w:r>
        <w:t>Equations should be centered and numbered consecutively, as in Eq. (1). An alternative method is given in Eq. (2) for long sets of equations where only one referencing equation number is wanted.</w:t>
      </w:r>
    </w:p>
    <w:p w14:paraId="3E1DF0F4" w14:textId="77777777" w:rsidR="004314E4" w:rsidRDefault="004314E4" w:rsidP="004314E4">
      <w:pPr>
        <w:pStyle w:val="Heading2"/>
      </w:pPr>
      <w:r>
        <w:t>List</w:t>
      </w:r>
    </w:p>
    <w:p w14:paraId="1DB193AA" w14:textId="77777777" w:rsidR="004314E4" w:rsidRDefault="004314E4" w:rsidP="004314E4">
      <w:pPr>
        <w:pStyle w:val="spara"/>
        <w:spacing w:after="120"/>
      </w:pPr>
      <w:r>
        <w:t>The basic model makes the following assumptions:</w:t>
      </w:r>
    </w:p>
    <w:p w14:paraId="407A9E20" w14:textId="77777777" w:rsidR="004314E4" w:rsidRDefault="004314E4" w:rsidP="004314E4">
      <w:pPr>
        <w:pStyle w:val="ListNumber"/>
        <w:numPr>
          <w:ilvl w:val="0"/>
          <w:numId w:val="3"/>
        </w:numPr>
      </w:pPr>
      <w:r>
        <w:t>Environmental fluctuations may have a negative effect on the number of species. This effect is due to physiological stress, which may even cause the extinction of some species.</w:t>
      </w:r>
    </w:p>
    <w:p w14:paraId="3B110266" w14:textId="77777777" w:rsidR="004314E4" w:rsidRDefault="004314E4" w:rsidP="004314E4">
      <w:pPr>
        <w:pStyle w:val="ListNumber"/>
        <w:numPr>
          <w:ilvl w:val="0"/>
          <w:numId w:val="3"/>
        </w:numPr>
      </w:pPr>
      <w:r>
        <w:t>Environmental variability may have a positive effect on richness because it relaxes interspecific competition.</w:t>
      </w:r>
    </w:p>
    <w:p w14:paraId="1695D58E" w14:textId="77777777" w:rsidR="004314E4" w:rsidRDefault="004314E4" w:rsidP="004314E4">
      <w:pPr>
        <w:pStyle w:val="ListNumber"/>
        <w:numPr>
          <w:ilvl w:val="0"/>
          <w:numId w:val="3"/>
        </w:numPr>
      </w:pPr>
      <w:r>
        <w:t>Both effects are independent and additive.</w:t>
      </w:r>
    </w:p>
    <w:p w14:paraId="0D2E5B8A" w14:textId="77777777" w:rsidR="004314E4" w:rsidRDefault="004314E4" w:rsidP="004314E4">
      <w:pPr>
        <w:pStyle w:val="ListNumber"/>
        <w:numPr>
          <w:ilvl w:val="0"/>
          <w:numId w:val="3"/>
        </w:numPr>
      </w:pPr>
      <w:r>
        <w:t>Both effects, stress and competence, can be represented by average values in two different parameters, which may be considered as constants.</w:t>
      </w:r>
    </w:p>
    <w:p w14:paraId="467A8464" w14:textId="77777777" w:rsidR="004314E4" w:rsidRDefault="004314E4" w:rsidP="004314E4">
      <w:pPr>
        <w:pStyle w:val="spara"/>
        <w:spacing w:before="120"/>
      </w:pPr>
      <w:r>
        <w:t>To analyze the model behavior under different scenarios we consider three cases. First, the competitive effect is bigger than the stress one; second, both effects have a similar magnitude; third, the effect of stress is the biggest:</w:t>
      </w:r>
    </w:p>
    <w:p w14:paraId="6535C033" w14:textId="77777777" w:rsidR="004314E4" w:rsidRDefault="004314E4" w:rsidP="004314E4">
      <w:pPr>
        <w:pStyle w:val="ListBullet"/>
      </w:pPr>
      <w:r>
        <w:t>Environmental fluctuations may have a negative effect on the number of species. This effect is due to physiological stress, which may even cause the extinction of some species.</w:t>
      </w:r>
    </w:p>
    <w:p w14:paraId="5A1B567E" w14:textId="77777777" w:rsidR="004314E4" w:rsidRDefault="004314E4" w:rsidP="004314E4">
      <w:pPr>
        <w:pStyle w:val="ListBullet"/>
      </w:pPr>
      <w:r>
        <w:t>Both effects are independent and additive.</w:t>
      </w:r>
    </w:p>
    <w:p w14:paraId="65D2042D" w14:textId="77777777" w:rsidR="004314E4" w:rsidRDefault="004314E4" w:rsidP="004314E4">
      <w:pPr>
        <w:pStyle w:val="ListBullet"/>
      </w:pPr>
      <w:r>
        <w:t>Both effects, stress and competence, can be represented by average values in two different parameters, which may be considered as constants.</w:t>
      </w:r>
    </w:p>
    <w:p w14:paraId="44F71B79" w14:textId="77777777" w:rsidR="004314E4" w:rsidRDefault="004314E4" w:rsidP="004314E4">
      <w:pPr>
        <w:pStyle w:val="spara"/>
        <w:spacing w:before="120"/>
      </w:pPr>
      <w:r>
        <w:t xml:space="preserve">To contrast the model predictions against several sets of field data, we use richness values of benthic communities from Sousa Reis </w:t>
      </w:r>
      <w:r>
        <w:rPr>
          <w:i/>
        </w:rPr>
        <w:t>et al.</w:t>
      </w:r>
      <w:r>
        <w:t xml:space="preserve"> [19], and earthworm richness data of forested soils [9]. We fit the model with each data set assuming a normal distribution of errors and minimizing the sum of square deviations [20].</w:t>
      </w:r>
    </w:p>
    <w:p w14:paraId="56E5C4BA" w14:textId="77777777" w:rsidR="004314E4" w:rsidRDefault="004314E4" w:rsidP="004314E4">
      <w:pPr>
        <w:pStyle w:val="Heading2"/>
      </w:pPr>
      <w:r>
        <w:t>Tables</w:t>
      </w:r>
    </w:p>
    <w:p w14:paraId="47B8F042" w14:textId="77777777" w:rsidR="004314E4" w:rsidRDefault="004314E4" w:rsidP="004314E4">
      <w:pPr>
        <w:pStyle w:val="spara"/>
      </w:pPr>
      <w:r>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w:t>
      </w:r>
    </w:p>
    <w:p w14:paraId="1CE5E1E8" w14:textId="77777777" w:rsidR="004314E4" w:rsidRDefault="004314E4" w:rsidP="004314E4">
      <w:pPr>
        <w:pStyle w:val="TextIndent"/>
      </w:pPr>
      <w:r>
        <w:t>The caption heading for a table should be placed at the top of the table.</w:t>
      </w:r>
    </w:p>
    <w:p w14:paraId="3A183129" w14:textId="77777777" w:rsidR="004314E4" w:rsidRDefault="004314E4" w:rsidP="004314E4">
      <w:pPr>
        <w:pStyle w:val="TextIndent"/>
        <w:rPr>
          <w:sz w:val="16"/>
          <w:szCs w:val="15"/>
        </w:rPr>
      </w:pPr>
    </w:p>
    <w:p w14:paraId="4D22CE5B" w14:textId="77777777" w:rsidR="004314E4" w:rsidRDefault="004314E4" w:rsidP="004314E4">
      <w:pPr>
        <w:pStyle w:val="Caption"/>
        <w:keepNext/>
        <w:keepLines/>
        <w:ind w:right="1"/>
        <w:jc w:val="center"/>
      </w:pPr>
      <w:r>
        <w:t>Table 1. First five normalized natural frequencies of a clamped beam with internal hinge at 4 different locations.</w:t>
      </w:r>
    </w:p>
    <w:p w14:paraId="4B535871" w14:textId="77777777" w:rsidR="004314E4" w:rsidRDefault="004314E4" w:rsidP="004314E4">
      <w:pPr>
        <w:keepNext/>
        <w:keepLines/>
        <w:ind w:left="966"/>
        <w:rPr>
          <w:sz w:val="16"/>
        </w:rPr>
      </w:pPr>
    </w:p>
    <w:tbl>
      <w:tblPr>
        <w:tblW w:w="4541" w:type="dxa"/>
        <w:jc w:val="center"/>
        <w:tblLayout w:type="fixed"/>
        <w:tblCellMar>
          <w:left w:w="10" w:type="dxa"/>
          <w:right w:w="10" w:type="dxa"/>
        </w:tblCellMar>
        <w:tblLook w:val="0000" w:firstRow="0" w:lastRow="0" w:firstColumn="0" w:lastColumn="0" w:noHBand="0" w:noVBand="0"/>
      </w:tblPr>
      <w:tblGrid>
        <w:gridCol w:w="550"/>
        <w:gridCol w:w="1021"/>
        <w:gridCol w:w="990"/>
        <w:gridCol w:w="1080"/>
        <w:gridCol w:w="900"/>
      </w:tblGrid>
      <w:tr w:rsidR="004314E4" w14:paraId="27D16C15" w14:textId="77777777" w:rsidTr="000231FD">
        <w:trPr>
          <w:trHeight w:val="245"/>
          <w:jc w:val="center"/>
        </w:trPr>
        <w:tc>
          <w:tcPr>
            <w:tcW w:w="55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774C9A8" w14:textId="77777777" w:rsidR="004314E4" w:rsidRDefault="004314E4" w:rsidP="000231FD">
            <w:pPr>
              <w:keepNext/>
              <w:keepLines/>
              <w:ind w:left="-157" w:right="41"/>
              <w:jc w:val="center"/>
              <w:rPr>
                <w:sz w:val="16"/>
                <w:szCs w:val="15"/>
              </w:rPr>
            </w:pPr>
          </w:p>
        </w:tc>
        <w:tc>
          <w:tcPr>
            <w:tcW w:w="10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6690D5F" w14:textId="77777777" w:rsidR="004314E4" w:rsidRDefault="004314E4" w:rsidP="000231FD">
            <w:pPr>
              <w:keepNext/>
              <w:keepLines/>
              <w:jc w:val="center"/>
              <w:rPr>
                <w:sz w:val="16"/>
                <w:szCs w:val="15"/>
              </w:rPr>
            </w:pPr>
            <w:r>
              <w:rPr>
                <w:sz w:val="16"/>
                <w:szCs w:val="15"/>
              </w:rPr>
              <w:t xml:space="preserve"> A = 0.56</w:t>
            </w:r>
          </w:p>
        </w:tc>
        <w:tc>
          <w:tcPr>
            <w:tcW w:w="9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732B918" w14:textId="77777777" w:rsidR="004314E4" w:rsidRDefault="004314E4" w:rsidP="000231FD">
            <w:pPr>
              <w:keepNext/>
              <w:keepLines/>
              <w:ind w:left="-95"/>
              <w:jc w:val="center"/>
              <w:rPr>
                <w:sz w:val="16"/>
                <w:szCs w:val="15"/>
              </w:rPr>
            </w:pPr>
            <w:r>
              <w:rPr>
                <w:sz w:val="16"/>
                <w:szCs w:val="15"/>
              </w:rPr>
              <w:t>B = 0.69</w:t>
            </w:r>
          </w:p>
        </w:tc>
        <w:tc>
          <w:tcPr>
            <w:tcW w:w="1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FF3C7C6" w14:textId="77777777" w:rsidR="004314E4" w:rsidRDefault="004314E4" w:rsidP="000231FD">
            <w:pPr>
              <w:keepNext/>
              <w:keepLines/>
              <w:jc w:val="center"/>
              <w:rPr>
                <w:sz w:val="16"/>
                <w:szCs w:val="15"/>
              </w:rPr>
            </w:pPr>
            <w:r>
              <w:rPr>
                <w:sz w:val="16"/>
                <w:szCs w:val="15"/>
              </w:rPr>
              <w:t>C = 0.75</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43F315" w14:textId="77777777" w:rsidR="004314E4" w:rsidRDefault="004314E4" w:rsidP="000231FD">
            <w:pPr>
              <w:keepNext/>
              <w:keepLines/>
              <w:tabs>
                <w:tab w:val="decimal" w:pos="589"/>
              </w:tabs>
              <w:ind w:right="-67"/>
              <w:rPr>
                <w:sz w:val="16"/>
                <w:szCs w:val="15"/>
              </w:rPr>
            </w:pPr>
            <w:r>
              <w:rPr>
                <w:sz w:val="16"/>
                <w:szCs w:val="15"/>
              </w:rPr>
              <w:t>D = 0.100</w:t>
            </w:r>
          </w:p>
        </w:tc>
      </w:tr>
      <w:tr w:rsidR="004314E4" w14:paraId="77F37A68" w14:textId="77777777" w:rsidTr="000231FD">
        <w:trPr>
          <w:trHeight w:val="245"/>
          <w:jc w:val="center"/>
        </w:trPr>
        <w:tc>
          <w:tcPr>
            <w:tcW w:w="550" w:type="dxa"/>
            <w:tcBorders>
              <w:top w:val="single" w:sz="4" w:space="0" w:color="000000"/>
            </w:tcBorders>
            <w:shd w:val="clear" w:color="auto" w:fill="auto"/>
            <w:tcMar>
              <w:top w:w="0" w:type="dxa"/>
              <w:left w:w="108" w:type="dxa"/>
              <w:bottom w:w="0" w:type="dxa"/>
              <w:right w:w="108" w:type="dxa"/>
            </w:tcMar>
            <w:vAlign w:val="center"/>
          </w:tcPr>
          <w:p w14:paraId="282C3A6C" w14:textId="77777777" w:rsidR="004314E4" w:rsidRDefault="004314E4" w:rsidP="000231FD">
            <w:pPr>
              <w:keepNext/>
              <w:keepLines/>
              <w:ind w:left="-157" w:right="41"/>
              <w:jc w:val="center"/>
            </w:pPr>
            <w:r>
              <w:rPr>
                <w:sz w:val="16"/>
                <w:szCs w:val="15"/>
              </w:rPr>
              <w:t>AB</w:t>
            </w:r>
            <w:r>
              <w:rPr>
                <w:sz w:val="16"/>
                <w:szCs w:val="15"/>
                <w:vertAlign w:val="subscript"/>
              </w:rPr>
              <w:t>1</w:t>
            </w:r>
          </w:p>
        </w:tc>
        <w:tc>
          <w:tcPr>
            <w:tcW w:w="1021" w:type="dxa"/>
            <w:tcBorders>
              <w:top w:val="single" w:sz="4" w:space="0" w:color="000000"/>
            </w:tcBorders>
            <w:shd w:val="clear" w:color="auto" w:fill="auto"/>
            <w:tcMar>
              <w:top w:w="0" w:type="dxa"/>
              <w:left w:w="108" w:type="dxa"/>
              <w:bottom w:w="0" w:type="dxa"/>
              <w:right w:w="108" w:type="dxa"/>
            </w:tcMar>
            <w:vAlign w:val="center"/>
          </w:tcPr>
          <w:p w14:paraId="43C9FE14" w14:textId="77777777" w:rsidR="004314E4" w:rsidRDefault="004314E4" w:rsidP="000231FD">
            <w:pPr>
              <w:keepNext/>
              <w:keepLines/>
              <w:tabs>
                <w:tab w:val="decimal" w:pos="373"/>
              </w:tabs>
              <w:rPr>
                <w:sz w:val="16"/>
                <w:szCs w:val="15"/>
              </w:rPr>
            </w:pPr>
            <w:r>
              <w:rPr>
                <w:sz w:val="16"/>
                <w:szCs w:val="15"/>
              </w:rPr>
              <w:t>14.0640</w:t>
            </w:r>
          </w:p>
        </w:tc>
        <w:tc>
          <w:tcPr>
            <w:tcW w:w="990" w:type="dxa"/>
            <w:tcBorders>
              <w:top w:val="single" w:sz="4" w:space="0" w:color="000000"/>
            </w:tcBorders>
            <w:shd w:val="clear" w:color="auto" w:fill="auto"/>
            <w:tcMar>
              <w:top w:w="0" w:type="dxa"/>
              <w:left w:w="108" w:type="dxa"/>
              <w:bottom w:w="0" w:type="dxa"/>
              <w:right w:w="108" w:type="dxa"/>
            </w:tcMar>
            <w:vAlign w:val="center"/>
          </w:tcPr>
          <w:p w14:paraId="37250BA0" w14:textId="77777777" w:rsidR="004314E4" w:rsidRDefault="004314E4" w:rsidP="000231FD">
            <w:pPr>
              <w:keepNext/>
              <w:keepLines/>
              <w:tabs>
                <w:tab w:val="decimal" w:pos="265"/>
              </w:tabs>
              <w:rPr>
                <w:sz w:val="16"/>
                <w:szCs w:val="15"/>
              </w:rPr>
            </w:pPr>
            <w:r>
              <w:rPr>
                <w:sz w:val="16"/>
                <w:szCs w:val="15"/>
              </w:rPr>
              <w:t>18.5620</w:t>
            </w:r>
          </w:p>
        </w:tc>
        <w:tc>
          <w:tcPr>
            <w:tcW w:w="1080" w:type="dxa"/>
            <w:tcBorders>
              <w:top w:val="single" w:sz="4" w:space="0" w:color="000000"/>
            </w:tcBorders>
            <w:shd w:val="clear" w:color="auto" w:fill="auto"/>
            <w:tcMar>
              <w:top w:w="0" w:type="dxa"/>
              <w:left w:w="108" w:type="dxa"/>
              <w:bottom w:w="0" w:type="dxa"/>
              <w:right w:w="108" w:type="dxa"/>
            </w:tcMar>
            <w:vAlign w:val="center"/>
          </w:tcPr>
          <w:p w14:paraId="233BC21B" w14:textId="77777777" w:rsidR="004314E4" w:rsidRDefault="004314E4" w:rsidP="000231FD">
            <w:pPr>
              <w:keepNext/>
              <w:keepLines/>
              <w:tabs>
                <w:tab w:val="decimal" w:pos="337"/>
              </w:tabs>
              <w:rPr>
                <w:sz w:val="16"/>
                <w:szCs w:val="15"/>
              </w:rPr>
            </w:pPr>
            <w:r>
              <w:rPr>
                <w:sz w:val="16"/>
                <w:szCs w:val="15"/>
              </w:rPr>
              <w:t>22.0817</w:t>
            </w:r>
          </w:p>
        </w:tc>
        <w:tc>
          <w:tcPr>
            <w:tcW w:w="900" w:type="dxa"/>
            <w:tcBorders>
              <w:top w:val="single" w:sz="4" w:space="0" w:color="000000"/>
            </w:tcBorders>
            <w:shd w:val="clear" w:color="auto" w:fill="auto"/>
            <w:tcMar>
              <w:top w:w="0" w:type="dxa"/>
              <w:left w:w="108" w:type="dxa"/>
              <w:bottom w:w="0" w:type="dxa"/>
              <w:right w:w="108" w:type="dxa"/>
            </w:tcMar>
            <w:vAlign w:val="center"/>
          </w:tcPr>
          <w:p w14:paraId="46925C80" w14:textId="77777777" w:rsidR="004314E4" w:rsidRDefault="004314E4" w:rsidP="000231FD">
            <w:pPr>
              <w:keepNext/>
              <w:keepLines/>
              <w:tabs>
                <w:tab w:val="decimal" w:pos="589"/>
              </w:tabs>
              <w:ind w:right="-67"/>
              <w:rPr>
                <w:sz w:val="16"/>
                <w:szCs w:val="15"/>
              </w:rPr>
            </w:pPr>
            <w:r>
              <w:rPr>
                <w:sz w:val="16"/>
                <w:szCs w:val="15"/>
              </w:rPr>
              <w:t>18.90732</w:t>
            </w:r>
          </w:p>
        </w:tc>
      </w:tr>
      <w:tr w:rsidR="004314E4" w14:paraId="6E84B89F" w14:textId="77777777" w:rsidTr="000231FD">
        <w:trPr>
          <w:trHeight w:val="245"/>
          <w:jc w:val="center"/>
        </w:trPr>
        <w:tc>
          <w:tcPr>
            <w:tcW w:w="550" w:type="dxa"/>
            <w:shd w:val="clear" w:color="auto" w:fill="auto"/>
            <w:tcMar>
              <w:top w:w="0" w:type="dxa"/>
              <w:left w:w="108" w:type="dxa"/>
              <w:bottom w:w="0" w:type="dxa"/>
              <w:right w:w="108" w:type="dxa"/>
            </w:tcMar>
            <w:vAlign w:val="center"/>
          </w:tcPr>
          <w:p w14:paraId="52ABD4CD" w14:textId="77777777" w:rsidR="004314E4" w:rsidRDefault="004314E4" w:rsidP="000231FD">
            <w:pPr>
              <w:keepNext/>
              <w:keepLines/>
              <w:ind w:left="-157" w:right="41"/>
              <w:jc w:val="center"/>
            </w:pPr>
            <w:r>
              <w:rPr>
                <w:sz w:val="16"/>
                <w:szCs w:val="15"/>
              </w:rPr>
              <w:t>AC</w:t>
            </w:r>
            <w:r>
              <w:rPr>
                <w:sz w:val="16"/>
                <w:szCs w:val="15"/>
                <w:vertAlign w:val="subscript"/>
              </w:rPr>
              <w:t>2</w:t>
            </w:r>
          </w:p>
        </w:tc>
        <w:tc>
          <w:tcPr>
            <w:tcW w:w="1021" w:type="dxa"/>
            <w:shd w:val="clear" w:color="auto" w:fill="auto"/>
            <w:tcMar>
              <w:top w:w="0" w:type="dxa"/>
              <w:left w:w="108" w:type="dxa"/>
              <w:bottom w:w="0" w:type="dxa"/>
              <w:right w:w="108" w:type="dxa"/>
            </w:tcMar>
            <w:vAlign w:val="center"/>
          </w:tcPr>
          <w:p w14:paraId="250FA167" w14:textId="77777777" w:rsidR="004314E4" w:rsidRDefault="004314E4" w:rsidP="000231FD">
            <w:pPr>
              <w:keepNext/>
              <w:keepLines/>
              <w:tabs>
                <w:tab w:val="decimal" w:pos="373"/>
              </w:tabs>
              <w:rPr>
                <w:sz w:val="16"/>
                <w:szCs w:val="15"/>
              </w:rPr>
            </w:pPr>
            <w:r>
              <w:rPr>
                <w:sz w:val="16"/>
                <w:szCs w:val="15"/>
              </w:rPr>
              <w:t>61.6728</w:t>
            </w:r>
          </w:p>
        </w:tc>
        <w:tc>
          <w:tcPr>
            <w:tcW w:w="990" w:type="dxa"/>
            <w:shd w:val="clear" w:color="auto" w:fill="auto"/>
            <w:tcMar>
              <w:top w:w="0" w:type="dxa"/>
              <w:left w:w="108" w:type="dxa"/>
              <w:bottom w:w="0" w:type="dxa"/>
              <w:right w:w="108" w:type="dxa"/>
            </w:tcMar>
            <w:vAlign w:val="center"/>
          </w:tcPr>
          <w:p w14:paraId="63AFB998" w14:textId="77777777" w:rsidR="004314E4" w:rsidRDefault="004314E4" w:rsidP="000231FD">
            <w:pPr>
              <w:keepNext/>
              <w:keepLines/>
              <w:tabs>
                <w:tab w:val="decimal" w:pos="265"/>
              </w:tabs>
              <w:rPr>
                <w:sz w:val="16"/>
                <w:szCs w:val="15"/>
              </w:rPr>
            </w:pPr>
            <w:r>
              <w:rPr>
                <w:sz w:val="16"/>
                <w:szCs w:val="15"/>
              </w:rPr>
              <w:t>44.7844</w:t>
            </w:r>
          </w:p>
        </w:tc>
        <w:tc>
          <w:tcPr>
            <w:tcW w:w="1080" w:type="dxa"/>
            <w:shd w:val="clear" w:color="auto" w:fill="auto"/>
            <w:tcMar>
              <w:top w:w="0" w:type="dxa"/>
              <w:left w:w="108" w:type="dxa"/>
              <w:bottom w:w="0" w:type="dxa"/>
              <w:right w:w="108" w:type="dxa"/>
            </w:tcMar>
            <w:vAlign w:val="center"/>
          </w:tcPr>
          <w:p w14:paraId="676FD981" w14:textId="77777777" w:rsidR="004314E4" w:rsidRDefault="004314E4" w:rsidP="000231FD">
            <w:pPr>
              <w:keepNext/>
              <w:keepLines/>
              <w:tabs>
                <w:tab w:val="decimal" w:pos="337"/>
              </w:tabs>
              <w:rPr>
                <w:sz w:val="16"/>
                <w:szCs w:val="15"/>
              </w:rPr>
            </w:pPr>
            <w:r>
              <w:rPr>
                <w:sz w:val="16"/>
                <w:szCs w:val="15"/>
              </w:rPr>
              <w:t>44.5884</w:t>
            </w:r>
          </w:p>
        </w:tc>
        <w:tc>
          <w:tcPr>
            <w:tcW w:w="900" w:type="dxa"/>
            <w:shd w:val="clear" w:color="auto" w:fill="auto"/>
            <w:tcMar>
              <w:top w:w="0" w:type="dxa"/>
              <w:left w:w="108" w:type="dxa"/>
              <w:bottom w:w="0" w:type="dxa"/>
              <w:right w:w="108" w:type="dxa"/>
            </w:tcMar>
            <w:vAlign w:val="center"/>
          </w:tcPr>
          <w:p w14:paraId="48F8092C" w14:textId="77777777" w:rsidR="004314E4" w:rsidRDefault="004314E4" w:rsidP="000231FD">
            <w:pPr>
              <w:keepNext/>
              <w:keepLines/>
              <w:tabs>
                <w:tab w:val="decimal" w:pos="589"/>
              </w:tabs>
              <w:ind w:right="-67"/>
              <w:rPr>
                <w:sz w:val="16"/>
                <w:szCs w:val="15"/>
              </w:rPr>
            </w:pPr>
            <w:r>
              <w:rPr>
                <w:sz w:val="16"/>
                <w:szCs w:val="15"/>
              </w:rPr>
              <w:t>60.17496</w:t>
            </w:r>
          </w:p>
        </w:tc>
      </w:tr>
      <w:tr w:rsidR="004314E4" w14:paraId="73B9BF63" w14:textId="77777777" w:rsidTr="000231FD">
        <w:trPr>
          <w:trHeight w:val="245"/>
          <w:jc w:val="center"/>
        </w:trPr>
        <w:tc>
          <w:tcPr>
            <w:tcW w:w="550" w:type="dxa"/>
            <w:shd w:val="clear" w:color="auto" w:fill="auto"/>
            <w:tcMar>
              <w:top w:w="0" w:type="dxa"/>
              <w:left w:w="108" w:type="dxa"/>
              <w:bottom w:w="0" w:type="dxa"/>
              <w:right w:w="108" w:type="dxa"/>
            </w:tcMar>
            <w:vAlign w:val="center"/>
          </w:tcPr>
          <w:p w14:paraId="74AB8B38" w14:textId="77777777" w:rsidR="004314E4" w:rsidRDefault="004314E4" w:rsidP="000231FD">
            <w:pPr>
              <w:keepNext/>
              <w:keepLines/>
              <w:ind w:left="-157" w:right="41"/>
              <w:jc w:val="center"/>
            </w:pPr>
            <w:r>
              <w:rPr>
                <w:sz w:val="16"/>
                <w:szCs w:val="15"/>
              </w:rPr>
              <w:t>AD</w:t>
            </w:r>
            <w:r>
              <w:rPr>
                <w:sz w:val="16"/>
                <w:szCs w:val="15"/>
                <w:vertAlign w:val="subscript"/>
              </w:rPr>
              <w:t>3</w:t>
            </w:r>
          </w:p>
        </w:tc>
        <w:tc>
          <w:tcPr>
            <w:tcW w:w="1021" w:type="dxa"/>
            <w:shd w:val="clear" w:color="auto" w:fill="auto"/>
            <w:tcMar>
              <w:top w:w="0" w:type="dxa"/>
              <w:left w:w="108" w:type="dxa"/>
              <w:bottom w:w="0" w:type="dxa"/>
              <w:right w:w="108" w:type="dxa"/>
            </w:tcMar>
            <w:vAlign w:val="center"/>
          </w:tcPr>
          <w:p w14:paraId="7408CD11" w14:textId="77777777" w:rsidR="004314E4" w:rsidRDefault="004314E4" w:rsidP="000231FD">
            <w:pPr>
              <w:keepNext/>
              <w:keepLines/>
              <w:tabs>
                <w:tab w:val="decimal" w:pos="373"/>
              </w:tabs>
              <w:rPr>
                <w:sz w:val="16"/>
                <w:szCs w:val="15"/>
              </w:rPr>
            </w:pPr>
            <w:r>
              <w:rPr>
                <w:sz w:val="16"/>
                <w:szCs w:val="15"/>
              </w:rPr>
              <w:t>88.1380</w:t>
            </w:r>
          </w:p>
        </w:tc>
        <w:tc>
          <w:tcPr>
            <w:tcW w:w="990" w:type="dxa"/>
            <w:shd w:val="clear" w:color="auto" w:fill="auto"/>
            <w:tcMar>
              <w:top w:w="0" w:type="dxa"/>
              <w:left w:w="108" w:type="dxa"/>
              <w:bottom w:w="0" w:type="dxa"/>
              <w:right w:w="108" w:type="dxa"/>
            </w:tcMar>
            <w:vAlign w:val="center"/>
          </w:tcPr>
          <w:p w14:paraId="10AFEA68" w14:textId="77777777" w:rsidR="004314E4" w:rsidRDefault="004314E4" w:rsidP="000231FD">
            <w:pPr>
              <w:keepNext/>
              <w:keepLines/>
              <w:tabs>
                <w:tab w:val="decimal" w:pos="265"/>
              </w:tabs>
              <w:rPr>
                <w:sz w:val="16"/>
                <w:szCs w:val="15"/>
              </w:rPr>
            </w:pPr>
            <w:r>
              <w:rPr>
                <w:sz w:val="16"/>
                <w:szCs w:val="15"/>
              </w:rPr>
              <w:t>118.1564</w:t>
            </w:r>
          </w:p>
        </w:tc>
        <w:tc>
          <w:tcPr>
            <w:tcW w:w="1080" w:type="dxa"/>
            <w:shd w:val="clear" w:color="auto" w:fill="auto"/>
            <w:tcMar>
              <w:top w:w="0" w:type="dxa"/>
              <w:left w:w="108" w:type="dxa"/>
              <w:bottom w:w="0" w:type="dxa"/>
              <w:right w:w="108" w:type="dxa"/>
            </w:tcMar>
            <w:vAlign w:val="center"/>
          </w:tcPr>
          <w:p w14:paraId="47C05A8B" w14:textId="77777777" w:rsidR="004314E4" w:rsidRDefault="004314E4" w:rsidP="000231FD">
            <w:pPr>
              <w:keepNext/>
              <w:keepLines/>
              <w:tabs>
                <w:tab w:val="decimal" w:pos="337"/>
              </w:tabs>
              <w:rPr>
                <w:sz w:val="16"/>
                <w:szCs w:val="15"/>
              </w:rPr>
            </w:pPr>
            <w:r>
              <w:rPr>
                <w:sz w:val="16"/>
                <w:szCs w:val="15"/>
              </w:rPr>
              <w:t>101.2240</w:t>
            </w:r>
          </w:p>
        </w:tc>
        <w:tc>
          <w:tcPr>
            <w:tcW w:w="900" w:type="dxa"/>
            <w:shd w:val="clear" w:color="auto" w:fill="auto"/>
            <w:tcMar>
              <w:top w:w="0" w:type="dxa"/>
              <w:left w:w="108" w:type="dxa"/>
              <w:bottom w:w="0" w:type="dxa"/>
              <w:right w:w="108" w:type="dxa"/>
            </w:tcMar>
            <w:vAlign w:val="center"/>
          </w:tcPr>
          <w:p w14:paraId="395E5A44" w14:textId="77777777" w:rsidR="004314E4" w:rsidRDefault="004314E4" w:rsidP="000231FD">
            <w:pPr>
              <w:keepNext/>
              <w:keepLines/>
              <w:tabs>
                <w:tab w:val="decimal" w:pos="589"/>
              </w:tabs>
              <w:ind w:right="-67"/>
              <w:rPr>
                <w:sz w:val="16"/>
                <w:szCs w:val="15"/>
              </w:rPr>
            </w:pPr>
            <w:r>
              <w:rPr>
                <w:sz w:val="16"/>
                <w:szCs w:val="15"/>
              </w:rPr>
              <w:t>120.72693</w:t>
            </w:r>
          </w:p>
        </w:tc>
      </w:tr>
      <w:tr w:rsidR="004314E4" w14:paraId="5F72E7B0" w14:textId="77777777" w:rsidTr="000231FD">
        <w:trPr>
          <w:trHeight w:val="245"/>
          <w:jc w:val="center"/>
        </w:trPr>
        <w:tc>
          <w:tcPr>
            <w:tcW w:w="550" w:type="dxa"/>
            <w:shd w:val="clear" w:color="auto" w:fill="auto"/>
            <w:tcMar>
              <w:top w:w="0" w:type="dxa"/>
              <w:left w:w="108" w:type="dxa"/>
              <w:bottom w:w="0" w:type="dxa"/>
              <w:right w:w="108" w:type="dxa"/>
            </w:tcMar>
            <w:vAlign w:val="center"/>
          </w:tcPr>
          <w:p w14:paraId="37F02D41" w14:textId="77777777" w:rsidR="004314E4" w:rsidRDefault="004314E4" w:rsidP="000231FD">
            <w:pPr>
              <w:keepNext/>
              <w:keepLines/>
              <w:ind w:left="-157" w:right="41"/>
              <w:jc w:val="center"/>
            </w:pPr>
            <w:r>
              <w:rPr>
                <w:sz w:val="16"/>
                <w:szCs w:val="15"/>
              </w:rPr>
              <w:t>DB</w:t>
            </w:r>
            <w:r>
              <w:rPr>
                <w:sz w:val="16"/>
                <w:szCs w:val="15"/>
                <w:vertAlign w:val="subscript"/>
              </w:rPr>
              <w:t>4</w:t>
            </w:r>
          </w:p>
        </w:tc>
        <w:tc>
          <w:tcPr>
            <w:tcW w:w="1021" w:type="dxa"/>
            <w:shd w:val="clear" w:color="auto" w:fill="auto"/>
            <w:tcMar>
              <w:top w:w="0" w:type="dxa"/>
              <w:left w:w="108" w:type="dxa"/>
              <w:bottom w:w="0" w:type="dxa"/>
              <w:right w:w="108" w:type="dxa"/>
            </w:tcMar>
            <w:vAlign w:val="center"/>
          </w:tcPr>
          <w:p w14:paraId="1404ECDC" w14:textId="77777777" w:rsidR="004314E4" w:rsidRDefault="004314E4" w:rsidP="000231FD">
            <w:pPr>
              <w:keepNext/>
              <w:keepLines/>
              <w:tabs>
                <w:tab w:val="decimal" w:pos="373"/>
              </w:tabs>
              <w:rPr>
                <w:sz w:val="16"/>
                <w:szCs w:val="15"/>
              </w:rPr>
            </w:pPr>
            <w:r>
              <w:rPr>
                <w:sz w:val="16"/>
                <w:szCs w:val="15"/>
              </w:rPr>
              <w:t>199.8594</w:t>
            </w:r>
          </w:p>
        </w:tc>
        <w:tc>
          <w:tcPr>
            <w:tcW w:w="990" w:type="dxa"/>
            <w:shd w:val="clear" w:color="auto" w:fill="auto"/>
            <w:tcMar>
              <w:top w:w="0" w:type="dxa"/>
              <w:left w:w="108" w:type="dxa"/>
              <w:bottom w:w="0" w:type="dxa"/>
              <w:right w:w="108" w:type="dxa"/>
            </w:tcMar>
            <w:vAlign w:val="center"/>
          </w:tcPr>
          <w:p w14:paraId="1BFF6A06" w14:textId="77777777" w:rsidR="004314E4" w:rsidRDefault="004314E4" w:rsidP="000231FD">
            <w:pPr>
              <w:keepNext/>
              <w:keepLines/>
              <w:tabs>
                <w:tab w:val="decimal" w:pos="265"/>
              </w:tabs>
              <w:rPr>
                <w:sz w:val="16"/>
                <w:szCs w:val="15"/>
              </w:rPr>
            </w:pPr>
            <w:r>
              <w:rPr>
                <w:sz w:val="16"/>
                <w:szCs w:val="15"/>
              </w:rPr>
              <w:t>173.1269</w:t>
            </w:r>
          </w:p>
        </w:tc>
        <w:tc>
          <w:tcPr>
            <w:tcW w:w="1080" w:type="dxa"/>
            <w:shd w:val="clear" w:color="auto" w:fill="auto"/>
            <w:tcMar>
              <w:top w:w="0" w:type="dxa"/>
              <w:left w:w="108" w:type="dxa"/>
              <w:bottom w:w="0" w:type="dxa"/>
              <w:right w:w="108" w:type="dxa"/>
            </w:tcMar>
            <w:vAlign w:val="center"/>
          </w:tcPr>
          <w:p w14:paraId="30932134" w14:textId="77777777" w:rsidR="004314E4" w:rsidRDefault="004314E4" w:rsidP="000231FD">
            <w:pPr>
              <w:keepNext/>
              <w:keepLines/>
              <w:tabs>
                <w:tab w:val="decimal" w:pos="337"/>
              </w:tabs>
              <w:rPr>
                <w:sz w:val="16"/>
                <w:szCs w:val="15"/>
              </w:rPr>
            </w:pPr>
            <w:r>
              <w:rPr>
                <w:sz w:val="16"/>
                <w:szCs w:val="15"/>
              </w:rPr>
              <w:t>194.4907</w:t>
            </w:r>
          </w:p>
        </w:tc>
        <w:tc>
          <w:tcPr>
            <w:tcW w:w="900" w:type="dxa"/>
            <w:shd w:val="clear" w:color="auto" w:fill="auto"/>
            <w:tcMar>
              <w:top w:w="0" w:type="dxa"/>
              <w:left w:w="108" w:type="dxa"/>
              <w:bottom w:w="0" w:type="dxa"/>
              <w:right w:w="108" w:type="dxa"/>
            </w:tcMar>
            <w:vAlign w:val="center"/>
          </w:tcPr>
          <w:p w14:paraId="176D8423" w14:textId="77777777" w:rsidR="004314E4" w:rsidRDefault="004314E4" w:rsidP="000231FD">
            <w:pPr>
              <w:keepNext/>
              <w:keepLines/>
              <w:tabs>
                <w:tab w:val="decimal" w:pos="589"/>
              </w:tabs>
              <w:ind w:right="-67"/>
              <w:rPr>
                <w:sz w:val="16"/>
                <w:szCs w:val="15"/>
              </w:rPr>
            </w:pPr>
            <w:r>
              <w:rPr>
                <w:sz w:val="16"/>
                <w:szCs w:val="15"/>
              </w:rPr>
              <w:t>188.75258</w:t>
            </w:r>
          </w:p>
        </w:tc>
      </w:tr>
      <w:tr w:rsidR="004314E4" w14:paraId="1A27561F" w14:textId="77777777" w:rsidTr="000231FD">
        <w:trPr>
          <w:trHeight w:val="245"/>
          <w:jc w:val="center"/>
        </w:trPr>
        <w:tc>
          <w:tcPr>
            <w:tcW w:w="550" w:type="dxa"/>
            <w:tcBorders>
              <w:bottom w:val="single" w:sz="4" w:space="0" w:color="000000"/>
            </w:tcBorders>
            <w:shd w:val="clear" w:color="auto" w:fill="auto"/>
            <w:tcMar>
              <w:top w:w="0" w:type="dxa"/>
              <w:left w:w="108" w:type="dxa"/>
              <w:bottom w:w="0" w:type="dxa"/>
              <w:right w:w="108" w:type="dxa"/>
            </w:tcMar>
            <w:vAlign w:val="center"/>
          </w:tcPr>
          <w:p w14:paraId="562F34E3" w14:textId="77777777" w:rsidR="004314E4" w:rsidRDefault="004314E4" w:rsidP="000231FD">
            <w:pPr>
              <w:keepNext/>
              <w:keepLines/>
              <w:ind w:left="-157" w:right="41"/>
              <w:jc w:val="center"/>
            </w:pPr>
            <w:r>
              <w:rPr>
                <w:sz w:val="16"/>
                <w:szCs w:val="15"/>
              </w:rPr>
              <w:t>DA</w:t>
            </w:r>
            <w:r>
              <w:rPr>
                <w:sz w:val="16"/>
                <w:szCs w:val="15"/>
                <w:vertAlign w:val="subscript"/>
              </w:rPr>
              <w:t>5</w:t>
            </w:r>
          </w:p>
        </w:tc>
        <w:tc>
          <w:tcPr>
            <w:tcW w:w="1021" w:type="dxa"/>
            <w:tcBorders>
              <w:bottom w:val="single" w:sz="4" w:space="0" w:color="000000"/>
            </w:tcBorders>
            <w:shd w:val="clear" w:color="auto" w:fill="auto"/>
            <w:tcMar>
              <w:top w:w="0" w:type="dxa"/>
              <w:left w:w="108" w:type="dxa"/>
              <w:bottom w:w="0" w:type="dxa"/>
              <w:right w:w="108" w:type="dxa"/>
            </w:tcMar>
            <w:vAlign w:val="center"/>
          </w:tcPr>
          <w:p w14:paraId="6C0CBC28" w14:textId="77777777" w:rsidR="004314E4" w:rsidRDefault="004314E4" w:rsidP="000231FD">
            <w:pPr>
              <w:keepNext/>
              <w:keepLines/>
              <w:tabs>
                <w:tab w:val="decimal" w:pos="373"/>
              </w:tabs>
              <w:rPr>
                <w:sz w:val="16"/>
                <w:szCs w:val="15"/>
              </w:rPr>
            </w:pPr>
            <w:r>
              <w:rPr>
                <w:sz w:val="16"/>
                <w:szCs w:val="15"/>
              </w:rPr>
              <w:t>246.7889</w:t>
            </w:r>
          </w:p>
        </w:tc>
        <w:tc>
          <w:tcPr>
            <w:tcW w:w="990" w:type="dxa"/>
            <w:tcBorders>
              <w:bottom w:val="single" w:sz="4" w:space="0" w:color="000000"/>
            </w:tcBorders>
            <w:shd w:val="clear" w:color="auto" w:fill="auto"/>
            <w:tcMar>
              <w:top w:w="0" w:type="dxa"/>
              <w:left w:w="108" w:type="dxa"/>
              <w:bottom w:w="0" w:type="dxa"/>
              <w:right w:w="108" w:type="dxa"/>
            </w:tcMar>
            <w:vAlign w:val="center"/>
          </w:tcPr>
          <w:p w14:paraId="3F9B469D" w14:textId="77777777" w:rsidR="004314E4" w:rsidRDefault="004314E4" w:rsidP="000231FD">
            <w:pPr>
              <w:keepNext/>
              <w:keepLines/>
              <w:tabs>
                <w:tab w:val="decimal" w:pos="265"/>
              </w:tabs>
              <w:rPr>
                <w:sz w:val="16"/>
                <w:szCs w:val="15"/>
              </w:rPr>
            </w:pPr>
            <w:r>
              <w:rPr>
                <w:sz w:val="16"/>
                <w:szCs w:val="15"/>
              </w:rPr>
              <w:t>255.9483</w:t>
            </w:r>
          </w:p>
        </w:tc>
        <w:tc>
          <w:tcPr>
            <w:tcW w:w="1080" w:type="dxa"/>
            <w:tcBorders>
              <w:bottom w:val="single" w:sz="4" w:space="0" w:color="000000"/>
            </w:tcBorders>
            <w:shd w:val="clear" w:color="auto" w:fill="auto"/>
            <w:tcMar>
              <w:top w:w="0" w:type="dxa"/>
              <w:left w:w="108" w:type="dxa"/>
              <w:bottom w:w="0" w:type="dxa"/>
              <w:right w:w="108" w:type="dxa"/>
            </w:tcMar>
            <w:vAlign w:val="center"/>
          </w:tcPr>
          <w:p w14:paraId="42F0C715" w14:textId="77777777" w:rsidR="004314E4" w:rsidRDefault="004314E4" w:rsidP="000231FD">
            <w:pPr>
              <w:keepNext/>
              <w:keepLines/>
              <w:tabs>
                <w:tab w:val="decimal" w:pos="337"/>
              </w:tabs>
              <w:rPr>
                <w:sz w:val="16"/>
                <w:szCs w:val="15"/>
              </w:rPr>
            </w:pPr>
            <w:r>
              <w:rPr>
                <w:sz w:val="16"/>
                <w:szCs w:val="15"/>
              </w:rPr>
              <w:t>284.6633</w:t>
            </w:r>
          </w:p>
        </w:tc>
        <w:tc>
          <w:tcPr>
            <w:tcW w:w="900" w:type="dxa"/>
            <w:tcBorders>
              <w:bottom w:val="single" w:sz="4" w:space="0" w:color="000000"/>
            </w:tcBorders>
            <w:shd w:val="clear" w:color="auto" w:fill="auto"/>
            <w:tcMar>
              <w:top w:w="0" w:type="dxa"/>
              <w:left w:w="108" w:type="dxa"/>
              <w:bottom w:w="0" w:type="dxa"/>
              <w:right w:w="108" w:type="dxa"/>
            </w:tcMar>
            <w:vAlign w:val="center"/>
          </w:tcPr>
          <w:p w14:paraId="2A124680" w14:textId="77777777" w:rsidR="004314E4" w:rsidRDefault="004314E4" w:rsidP="000231FD">
            <w:pPr>
              <w:keepNext/>
              <w:keepLines/>
              <w:tabs>
                <w:tab w:val="decimal" w:pos="589"/>
              </w:tabs>
              <w:ind w:right="-67"/>
              <w:rPr>
                <w:sz w:val="16"/>
                <w:szCs w:val="15"/>
              </w:rPr>
            </w:pPr>
            <w:r>
              <w:rPr>
                <w:sz w:val="16"/>
                <w:szCs w:val="15"/>
              </w:rPr>
              <w:t>262.24264</w:t>
            </w:r>
          </w:p>
        </w:tc>
      </w:tr>
    </w:tbl>
    <w:p w14:paraId="721FB0E2" w14:textId="77777777" w:rsidR="004314E4" w:rsidRDefault="004314E4" w:rsidP="004314E4">
      <w:pPr>
        <w:pStyle w:val="TextIndent"/>
        <w:rPr>
          <w:sz w:val="16"/>
          <w:szCs w:val="15"/>
        </w:rPr>
      </w:pPr>
    </w:p>
    <w:p w14:paraId="44D1D533" w14:textId="77777777" w:rsidR="004314E4" w:rsidRDefault="004314E4" w:rsidP="004314E4">
      <w:pPr>
        <w:pStyle w:val="Heading2"/>
      </w:pPr>
      <w:r>
        <w:lastRenderedPageBreak/>
        <w:t>Figures/Illustrations</w:t>
      </w:r>
    </w:p>
    <w:p w14:paraId="40ECCC2F" w14:textId="77777777" w:rsidR="004314E4" w:rsidRDefault="004314E4" w:rsidP="004314E4">
      <w:pPr>
        <w:pStyle w:val="spara"/>
      </w:pPr>
      <w:r>
        <w:t xml:space="preserve">Authors are advised to prepare their figures in black and white. Please prepare the figures in high resolution </w:t>
      </w:r>
      <w:r>
        <w:rPr>
          <w:rFonts w:eastAsia="BIG5黑体"/>
          <w:lang w:eastAsia="zh-CN"/>
        </w:rPr>
        <w:t xml:space="preserve">(300 dpi) </w:t>
      </w:r>
      <w:r>
        <w:t>for half-tone illustrations or images. Half-tone pictures must be sharp enough for reproduction, otherwise they will be rejected.</w:t>
      </w:r>
    </w:p>
    <w:p w14:paraId="57620BED" w14:textId="77777777" w:rsidR="004314E4" w:rsidRDefault="004314E4" w:rsidP="004314E4">
      <w:pPr>
        <w:pStyle w:val="TextIndent"/>
      </w:pPr>
      <w:proofErr w:type="spellStart"/>
      <w:r>
        <w:t>Colour</w:t>
      </w:r>
      <w:proofErr w:type="spellEnd"/>
      <w:r>
        <w:t xml:space="preserve"> images are allowed only when they are stated in the publishing agreement. The </w:t>
      </w:r>
      <w:proofErr w:type="spellStart"/>
      <w:r>
        <w:t>colour</w:t>
      </w:r>
      <w:proofErr w:type="spellEnd"/>
      <w:r>
        <w:t xml:space="preserve"> images must be prepared in CMYK (Cyan, Magenta, Yellow and Black). RGB </w:t>
      </w:r>
      <w:proofErr w:type="spellStart"/>
      <w:r>
        <w:t>colour</w:t>
      </w:r>
      <w:proofErr w:type="spellEnd"/>
      <w:r>
        <w:t xml:space="preserve"> images are not acceptable for </w:t>
      </w:r>
      <w:proofErr w:type="spellStart"/>
      <w:r>
        <w:t>colour</w:t>
      </w:r>
      <w:proofErr w:type="spellEnd"/>
      <w:r>
        <w:t xml:space="preserve"> separation.</w:t>
      </w:r>
    </w:p>
    <w:p w14:paraId="67706FAB" w14:textId="77777777" w:rsidR="004314E4" w:rsidRDefault="004314E4" w:rsidP="004314E4">
      <w:pPr>
        <w:pStyle w:val="TextIndent"/>
      </w:pPr>
      <w:r>
        <w:t>It is best to embed the figures in the text where they are first cited</w:t>
      </w:r>
      <w:r>
        <w:rPr>
          <w:rFonts w:eastAsia="BIG5黑体"/>
          <w:lang w:eastAsia="zh-CN"/>
        </w:rPr>
        <w:t xml:space="preserve">, </w:t>
      </w:r>
      <w:proofErr w:type="gramStart"/>
      <w:r>
        <w:rPr>
          <w:rFonts w:eastAsia="BIG5黑体"/>
          <w:lang w:eastAsia="zh-CN"/>
        </w:rPr>
        <w:t>e.g.</w:t>
      </w:r>
      <w:proofErr w:type="gramEnd"/>
      <w:r>
        <w:rPr>
          <w:rFonts w:eastAsia="BIG5黑体"/>
          <w:lang w:eastAsia="zh-CN"/>
        </w:rPr>
        <w:t xml:space="preserve"> see Figure 1</w:t>
      </w:r>
      <w:r>
        <w:t xml:space="preserve">. Please ensure that all labels in the figures are legible </w:t>
      </w:r>
      <w:proofErr w:type="spellStart"/>
      <w:r>
        <w:t>irregardless</w:t>
      </w:r>
      <w:proofErr w:type="spellEnd"/>
      <w:r>
        <w:t xml:space="preserve"> of whether they are drawn electronically or manually.</w:t>
      </w:r>
    </w:p>
    <w:p w14:paraId="5F78D487" w14:textId="77777777" w:rsidR="004314E4" w:rsidRDefault="004314E4" w:rsidP="004314E4">
      <w:pPr>
        <w:pStyle w:val="TextIndent"/>
      </w:pPr>
      <w:r>
        <w:t>If you prefer to submit glossy prints of figures, then it is very important to leave sufficient blank spaces in your manuscript to accommodate your figures. Send the hard copy of the figures on separate pages with clear instructions on where to match them to the respective blank spaces in the final hard copy text. Please ensure that each figure is correctly scaled (ensure legibility) to fit the space available. The caption heading for a figure should be placed below the figure.</w:t>
      </w:r>
    </w:p>
    <w:p w14:paraId="397E1DFA" w14:textId="77777777" w:rsidR="004314E4" w:rsidRDefault="004314E4" w:rsidP="004314E4">
      <w:pPr>
        <w:pStyle w:val="TextIndent"/>
      </w:pPr>
    </w:p>
    <w:p w14:paraId="3650DEFB" w14:textId="77777777" w:rsidR="004314E4" w:rsidRDefault="004D6A4D" w:rsidP="004314E4">
      <w:pPr>
        <w:jc w:val="center"/>
      </w:pPr>
      <w:r>
        <w:rPr>
          <w:noProof/>
          <w:lang w:val="en-GB" w:eastAsia="en-GB"/>
        </w:rPr>
        <w:drawing>
          <wp:inline distT="0" distB="0" distL="0" distR="0" wp14:anchorId="6DB8DB08" wp14:editId="67B7B6B8">
            <wp:extent cx="3922059" cy="1333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_2k19_logo.png"/>
                    <pic:cNvPicPr/>
                  </pic:nvPicPr>
                  <pic:blipFill>
                    <a:blip r:embed="rId7">
                      <a:extLst>
                        <a:ext uri="{28A0092B-C50C-407E-A947-70E740481C1C}">
                          <a14:useLocalDpi xmlns:a14="http://schemas.microsoft.com/office/drawing/2010/main" val="0"/>
                        </a:ext>
                      </a:extLst>
                    </a:blip>
                    <a:stretch>
                      <a:fillRect/>
                    </a:stretch>
                  </pic:blipFill>
                  <pic:spPr>
                    <a:xfrm>
                      <a:off x="0" y="0"/>
                      <a:ext cx="3937836" cy="1338864"/>
                    </a:xfrm>
                    <a:prstGeom prst="rect">
                      <a:avLst/>
                    </a:prstGeom>
                  </pic:spPr>
                </pic:pic>
              </a:graphicData>
            </a:graphic>
          </wp:inline>
        </w:drawing>
      </w:r>
    </w:p>
    <w:p w14:paraId="578710E2" w14:textId="77777777" w:rsidR="004314E4" w:rsidRDefault="004314E4" w:rsidP="004314E4">
      <w:pPr>
        <w:pStyle w:val="Caption"/>
      </w:pPr>
    </w:p>
    <w:p w14:paraId="739F95CD" w14:textId="77777777" w:rsidR="004314E4" w:rsidRDefault="004314E4" w:rsidP="004D6A4D">
      <w:pPr>
        <w:pStyle w:val="Caption"/>
        <w:jc w:val="center"/>
      </w:pPr>
      <w:r>
        <w:t xml:space="preserve">Figure 1. </w:t>
      </w:r>
      <w:r w:rsidR="004D6A4D" w:rsidRPr="004D6A4D">
        <w:t>ICRES 2019 conference logo</w:t>
      </w:r>
      <w:r>
        <w:t>.</w:t>
      </w:r>
    </w:p>
    <w:p w14:paraId="4C42C24C" w14:textId="77777777" w:rsidR="004314E4" w:rsidRDefault="004314E4" w:rsidP="004314E4">
      <w:pPr>
        <w:pStyle w:val="Heading2"/>
      </w:pPr>
      <w:r>
        <w:t>Limitations on the Placement of Tables, Equations and Figures</w:t>
      </w:r>
    </w:p>
    <w:p w14:paraId="3824BBF2" w14:textId="77777777" w:rsidR="004314E4" w:rsidRDefault="004314E4" w:rsidP="004314E4">
      <w:pPr>
        <w:pStyle w:val="spara"/>
      </w:pPr>
      <w:r>
        <w:t>Very large figures and tables should be placed on a page by themselves.</w:t>
      </w:r>
    </w:p>
    <w:p w14:paraId="744B00B0" w14:textId="77777777" w:rsidR="004314E4" w:rsidRDefault="004314E4" w:rsidP="004314E4">
      <w:pPr>
        <w:pStyle w:val="Heading2"/>
      </w:pPr>
      <w:r>
        <w:t>Acknowledgments, Appendices, Footnotes and the Bibliography</w:t>
      </w:r>
    </w:p>
    <w:p w14:paraId="7C664E9A" w14:textId="77777777" w:rsidR="004314E4" w:rsidRDefault="004314E4" w:rsidP="004314E4">
      <w:pPr>
        <w:pStyle w:val="spara"/>
      </w:pPr>
      <w:r>
        <w:t>If you wish to acknowledge funding bodies etc., the acknowledgments may be placed in a separate section at the end of the text, before the Appendices.</w:t>
      </w:r>
    </w:p>
    <w:p w14:paraId="7BE27515" w14:textId="77777777" w:rsidR="004314E4" w:rsidRDefault="004314E4" w:rsidP="004314E4">
      <w:pPr>
        <w:pStyle w:val="TextIndent"/>
      </w:pPr>
      <w:r>
        <w:t>It is preferable not to have Appendices in a brief article, but if more than one Appendix is necessary then set headings as Appendix A, Appendix B etc.</w:t>
      </w:r>
    </w:p>
    <w:p w14:paraId="39B2B2AC" w14:textId="77777777" w:rsidR="004314E4" w:rsidRDefault="004314E4" w:rsidP="004314E4">
      <w:pPr>
        <w:pStyle w:val="Heading3"/>
      </w:pPr>
      <w:r>
        <w:t>Footnotes and the citation</w:t>
      </w:r>
    </w:p>
    <w:p w14:paraId="177D36B2" w14:textId="77777777" w:rsidR="004314E4" w:rsidRDefault="004314E4" w:rsidP="004314E4">
      <w:pPr>
        <w:pStyle w:val="spara"/>
      </w:pPr>
      <w:r>
        <w:t xml:space="preserve">Footnotes are denoted by a character superscript in the </w:t>
      </w:r>
      <w:proofErr w:type="spellStart"/>
      <w:r>
        <w:t>text,</w:t>
      </w:r>
      <w:r>
        <w:rPr>
          <w:rStyle w:val="FootnoteReference"/>
        </w:rPr>
        <w:footnoteReference w:customMarkFollows="1" w:id="1"/>
        <w:t>b</w:t>
      </w:r>
      <w:proofErr w:type="spellEnd"/>
      <w:r>
        <w:t xml:space="preserve"> and references are denoted by a number superscript. If you use square brackets for citation</w:t>
      </w:r>
      <w:r>
        <w:rPr>
          <w:rFonts w:eastAsia="BIG5黑体"/>
          <w:lang w:eastAsia="zh-CN"/>
        </w:rPr>
        <w:t xml:space="preserve"> e.g. [2] </w:t>
      </w:r>
      <w:r>
        <w:t xml:space="preserve">please note that </w:t>
      </w:r>
      <w:r>
        <w:rPr>
          <w:rFonts w:eastAsia="BIG5黑体"/>
          <w:lang w:eastAsia="zh-CN"/>
        </w:rPr>
        <w:t>the citation should appear before the punctuation mark, e.g. [2], in the body text.</w:t>
      </w:r>
    </w:p>
    <w:p w14:paraId="39A805B5" w14:textId="77777777" w:rsidR="004314E4" w:rsidRDefault="004314E4" w:rsidP="004314E4">
      <w:pPr>
        <w:pStyle w:val="Heading1"/>
      </w:pPr>
      <w:r>
        <w:lastRenderedPageBreak/>
        <w:t>Sample Mathematical Text</w:t>
      </w:r>
    </w:p>
    <w:p w14:paraId="7DEFCFAF" w14:textId="77777777" w:rsidR="004314E4" w:rsidRDefault="004314E4" w:rsidP="004314E4">
      <w:pPr>
        <w:pStyle w:val="spara"/>
      </w:pPr>
      <w:r>
        <w:t xml:space="preserve">The following may be (and has been) described as ‘dangerously irrelevant’ physics. The Lorentz-invariant phase space integral for a general n-body decay from a particle with momentum </w:t>
      </w:r>
      <w:r>
        <w:rPr>
          <w:i/>
        </w:rPr>
        <w:t>P</w:t>
      </w:r>
      <w:r>
        <w:t xml:space="preserve"> and mass </w:t>
      </w:r>
      <w:r>
        <w:rPr>
          <w:i/>
        </w:rPr>
        <w:t>M</w:t>
      </w:r>
      <w:r>
        <w:t xml:space="preserve"> is given by:</w:t>
      </w:r>
    </w:p>
    <w:p w14:paraId="73FF7218" w14:textId="77777777" w:rsidR="004314E4" w:rsidRDefault="004314E4" w:rsidP="004314E4">
      <w:pPr>
        <w:pStyle w:val="Equation"/>
        <w:tabs>
          <w:tab w:val="clear" w:pos="3240"/>
          <w:tab w:val="center" w:pos="3402"/>
        </w:tabs>
      </w:pPr>
      <w:r>
        <w:tab/>
      </w:r>
      <w:r w:rsidR="001E0149">
        <w:rPr>
          <w:noProof/>
        </w:rPr>
        <w:object w:dxaOrig="3879" w:dyaOrig="620" w14:anchorId="0DE99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8" type="#_x0000_t75" alt="" style="width:194.7pt;height:31.1pt;visibility:visible;mso-wrap-style:square;mso-width-percent:0;mso-height-percent:0;mso-width-percent:0;mso-height-percent:0" o:ole="">
            <v:imagedata r:id="rId8" o:title=""/>
          </v:shape>
          <o:OLEObject Type="Embed" ProgID="Unknown" ShapeID="Object 2" DrawAspect="Content" ObjectID="_1679772608" r:id="rId9"/>
        </w:object>
      </w:r>
      <w:r>
        <w:tab/>
        <w:t>(1)</w:t>
      </w:r>
    </w:p>
    <w:p w14:paraId="29C8F6EF" w14:textId="77777777" w:rsidR="004314E4" w:rsidRDefault="004314E4" w:rsidP="004314E4">
      <w:pPr>
        <w:pStyle w:val="spara"/>
      </w:pPr>
      <w:r>
        <w:t xml:space="preserve">The only experiment on </w:t>
      </w:r>
      <w:r>
        <w:rPr>
          <w:noProof/>
          <w:lang w:val="en-GB" w:eastAsia="en-GB"/>
        </w:rPr>
        <w:drawing>
          <wp:inline distT="0" distB="0" distL="0" distR="0" wp14:anchorId="3274B138" wp14:editId="41BF7BAC">
            <wp:extent cx="787400" cy="215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215900"/>
                    </a:xfrm>
                    <a:prstGeom prst="rect">
                      <a:avLst/>
                    </a:prstGeom>
                    <a:noFill/>
                    <a:ln>
                      <a:noFill/>
                    </a:ln>
                  </pic:spPr>
                </pic:pic>
              </a:graphicData>
            </a:graphic>
          </wp:inline>
        </w:drawing>
      </w:r>
      <w:r>
        <w:t xml:space="preserve">since 1976 is that of </w:t>
      </w:r>
      <w:proofErr w:type="spellStart"/>
      <w:r>
        <w:t>Bolotov</w:t>
      </w:r>
      <w:proofErr w:type="spellEnd"/>
      <w:r>
        <w:t xml:space="preserve"> </w:t>
      </w:r>
      <w:r>
        <w:rPr>
          <w:i/>
        </w:rPr>
        <w:t>et al</w:t>
      </w:r>
      <w:r>
        <w:t>.</w:t>
      </w:r>
      <w:r>
        <w:rPr>
          <w:vertAlign w:val="superscript"/>
        </w:rPr>
        <w:t>3</w:t>
      </w:r>
      <w:r>
        <w:t xml:space="preserve"> There are two necessary conditions required for any acceptable parametrization of the quark mixing matrix. The first is that the matrix must be unitary, and the second is that it should contain a CP violating phase </w:t>
      </w:r>
      <w:r>
        <w:rPr>
          <w:rFonts w:ascii="Symbol" w:eastAsia="Symbol" w:hAnsi="Symbol" w:cs="Symbol"/>
          <w:i/>
        </w:rPr>
        <w:t></w:t>
      </w:r>
      <w:r>
        <w:t xml:space="preserve">. In Sec. 1.2 the connection between invariants (of form similar to J) and unitarity relations will be examined further for the more general </w:t>
      </w:r>
      <w:r>
        <w:rPr>
          <w:i/>
        </w:rPr>
        <w:t>n</w:t>
      </w:r>
      <w:r>
        <w:t xml:space="preserve"> × </w:t>
      </w:r>
      <w:r>
        <w:rPr>
          <w:i/>
        </w:rPr>
        <w:t>n</w:t>
      </w:r>
      <w:r>
        <w:t xml:space="preserve"> case. The reason is that such a matrix is not a faithful representation of the group, </w:t>
      </w:r>
      <w:proofErr w:type="gramStart"/>
      <w:r>
        <w:t>i.e.</w:t>
      </w:r>
      <w:proofErr w:type="gramEnd"/>
      <w:r>
        <w:t xml:space="preserve"> it does not cover all of the parameter space available</w:t>
      </w:r>
    </w:p>
    <w:p w14:paraId="1DB5FE2D" w14:textId="77777777" w:rsidR="004314E4" w:rsidRDefault="004314E4" w:rsidP="004314E4">
      <w:pPr>
        <w:pStyle w:val="Equation"/>
        <w:tabs>
          <w:tab w:val="clear" w:pos="3240"/>
          <w:tab w:val="center" w:pos="3402"/>
        </w:tabs>
      </w:pPr>
      <w:r>
        <w:tab/>
      </w:r>
      <w:r w:rsidR="001E0149">
        <w:rPr>
          <w:noProof/>
        </w:rPr>
        <w:object w:dxaOrig="2299" w:dyaOrig="1180" w14:anchorId="69F85684">
          <v:shape id="Object 4" o:spid="_x0000_i1027" type="#_x0000_t75" alt="" style="width:114.05pt;height:58.75pt;visibility:visible;mso-wrap-style:square;mso-width-percent:0;mso-height-percent:0;mso-width-percent:0;mso-height-percent:0" o:ole="">
            <v:imagedata r:id="rId11" o:title=""/>
          </v:shape>
          <o:OLEObject Type="Embed" ProgID="Unknown" ShapeID="Object 4" DrawAspect="Content" ObjectID="_1679772609" r:id="rId12"/>
        </w:object>
      </w:r>
      <w:r>
        <w:tab/>
        <w:t>(2)</w:t>
      </w:r>
    </w:p>
    <w:p w14:paraId="69E4C588" w14:textId="77777777" w:rsidR="004314E4" w:rsidRDefault="004314E4" w:rsidP="004314E4">
      <w:pPr>
        <w:pStyle w:val="spara"/>
      </w:pPr>
      <w:r>
        <w:t xml:space="preserve">where </w:t>
      </w:r>
      <w:r>
        <w:rPr>
          <w:i/>
        </w:rPr>
        <w:t>k</w:t>
      </w:r>
      <w:r>
        <w:t xml:space="preserve"> = </w:t>
      </w:r>
      <w:r>
        <w:rPr>
          <w:i/>
        </w:rPr>
        <w:t>j</w:t>
      </w:r>
      <w:r>
        <w:t xml:space="preserve"> or </w:t>
      </w:r>
      <w:r>
        <w:rPr>
          <w:i/>
        </w:rPr>
        <w:t xml:space="preserve">j </w:t>
      </w:r>
      <w:r>
        <w:t xml:space="preserve">+ 1 and </w:t>
      </w:r>
      <w:r>
        <w:rPr>
          <w:rFonts w:ascii="Symbol" w:hAnsi="Symbol"/>
          <w:i/>
        </w:rPr>
        <w:t></w:t>
      </w:r>
      <w:r>
        <w:t xml:space="preserve"> = </w:t>
      </w:r>
      <w:r>
        <w:rPr>
          <w:rFonts w:ascii="Symbol" w:hAnsi="Symbol"/>
          <w:i/>
        </w:rPr>
        <w:t></w:t>
      </w:r>
      <w:r>
        <w:t xml:space="preserve"> or </w:t>
      </w:r>
      <w:r>
        <w:rPr>
          <w:rFonts w:ascii="Symbol" w:hAnsi="Symbol"/>
          <w:i/>
        </w:rPr>
        <w:t></w:t>
      </w:r>
      <w:r>
        <w:rPr>
          <w:rFonts w:ascii="Symbol" w:hAnsi="Symbol"/>
          <w:i/>
        </w:rPr>
        <w:t></w:t>
      </w:r>
      <w:r>
        <w:t xml:space="preserve">+ 1, but if </w:t>
      </w:r>
      <w:r>
        <w:rPr>
          <w:i/>
        </w:rPr>
        <w:t>k</w:t>
      </w:r>
      <w:r>
        <w:t xml:space="preserve"> = </w:t>
      </w:r>
      <w:r>
        <w:rPr>
          <w:i/>
        </w:rPr>
        <w:t>j</w:t>
      </w:r>
      <w:r>
        <w:t xml:space="preserve"> + 1, then </w:t>
      </w:r>
      <w:r>
        <w:rPr>
          <w:rFonts w:ascii="Symbol" w:hAnsi="Symbol"/>
          <w:i/>
        </w:rPr>
        <w:t></w:t>
      </w:r>
      <w:r>
        <w:t xml:space="preserve"> </w:t>
      </w:r>
      <w:r>
        <w:rPr>
          <w:rFonts w:ascii="Symbol" w:eastAsia="Symbol" w:hAnsi="Symbol" w:cs="Symbol"/>
        </w:rPr>
        <w:t></w:t>
      </w:r>
      <w:r>
        <w:t xml:space="preserve"> </w:t>
      </w:r>
      <w:r>
        <w:rPr>
          <w:rFonts w:ascii="Symbol" w:hAnsi="Symbol"/>
          <w:i/>
        </w:rPr>
        <w:t></w:t>
      </w:r>
      <w:r>
        <w:t xml:space="preserve"> + 1 and similarly, if </w:t>
      </w:r>
      <w:r>
        <w:rPr>
          <w:rFonts w:ascii="Symbol" w:hAnsi="Symbol"/>
          <w:i/>
        </w:rPr>
        <w:t></w:t>
      </w:r>
      <w:r>
        <w:t xml:space="preserve"> = </w:t>
      </w:r>
      <w:r>
        <w:rPr>
          <w:rFonts w:ascii="Symbol" w:hAnsi="Symbol"/>
          <w:i/>
        </w:rPr>
        <w:t></w:t>
      </w:r>
      <w:r>
        <w:t xml:space="preserve"> + 1 then k </w:t>
      </w:r>
      <w:r>
        <w:rPr>
          <w:rFonts w:ascii="Symbol" w:eastAsia="Symbol" w:hAnsi="Symbol" w:cs="Symbol"/>
        </w:rPr>
        <w:t></w:t>
      </w:r>
      <w:r>
        <w:t xml:space="preserve"> </w:t>
      </w:r>
      <w:r>
        <w:rPr>
          <w:i/>
        </w:rPr>
        <w:t>j</w:t>
      </w:r>
      <w:r>
        <w:t xml:space="preserve"> + 1.</w:t>
      </w:r>
      <w:r>
        <w:rPr>
          <w:rStyle w:val="FootnoteReference"/>
        </w:rPr>
        <w:footnoteReference w:customMarkFollows="1" w:id="2"/>
        <w:t>c</w:t>
      </w:r>
      <w:r>
        <w:t xml:space="preserve"> There are only 162 quark mixing matrices using these parameters which are to first order in the phase variable </w:t>
      </w:r>
      <w:r>
        <w:rPr>
          <w:noProof/>
          <w:lang w:val="en-GB" w:eastAsia="en-GB"/>
        </w:rPr>
        <w:drawing>
          <wp:inline distT="0" distB="0" distL="0" distR="0" wp14:anchorId="04AFD18D" wp14:editId="6806B3C2">
            <wp:extent cx="190500" cy="177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t xml:space="preserve">as is the case for the </w:t>
      </w:r>
      <w:proofErr w:type="spellStart"/>
      <w:r>
        <w:t>Jarlskog</w:t>
      </w:r>
      <w:proofErr w:type="spellEnd"/>
      <w:r>
        <w:t xml:space="preserve"> parametrizations, and for which J is not identically zero. It should be noted that these are physically identical and form just one true parametrization</w:t>
      </w:r>
    </w:p>
    <w:p w14:paraId="087AF3A9" w14:textId="77777777" w:rsidR="004314E4" w:rsidRDefault="004314E4" w:rsidP="004314E4">
      <w:pPr>
        <w:pStyle w:val="Equation"/>
        <w:tabs>
          <w:tab w:val="clear" w:pos="3240"/>
          <w:tab w:val="center" w:pos="3402"/>
        </w:tabs>
      </w:pPr>
      <w:r>
        <w:tab/>
      </w:r>
      <w:r w:rsidR="001E0149">
        <w:rPr>
          <w:noProof/>
        </w:rPr>
        <w:object w:dxaOrig="3879" w:dyaOrig="3400" w14:anchorId="642B19C0">
          <v:shape id="Object 6" o:spid="_x0000_i1026" type="#_x0000_t75" alt="" style="width:194.7pt;height:169.9pt;visibility:visible;mso-wrap-style:square;mso-width-percent:0;mso-height-percent:0;mso-width-percent:0;mso-height-percent:0" o:ole="">
            <v:imagedata r:id="rId14" o:title=""/>
          </v:shape>
          <o:OLEObject Type="Embed" ProgID="Unknown" ShapeID="Object 6" DrawAspect="Content" ObjectID="_1679772610" r:id="rId15"/>
        </w:object>
      </w:r>
      <w:r>
        <w:tab/>
        <w:t>(3)</w:t>
      </w:r>
    </w:p>
    <w:p w14:paraId="6FE25A88" w14:textId="77777777" w:rsidR="004314E4" w:rsidRDefault="004314E4" w:rsidP="004314E4">
      <w:pPr>
        <w:pStyle w:val="NonumHead-1"/>
      </w:pPr>
      <w:r>
        <w:t>Acknowledgments</w:t>
      </w:r>
    </w:p>
    <w:p w14:paraId="59B7FFD4" w14:textId="77777777" w:rsidR="004314E4" w:rsidRDefault="004314E4" w:rsidP="004314E4">
      <w:pPr>
        <w:pStyle w:val="spara"/>
      </w:pPr>
      <w:r>
        <w:t>This is where one acknowledges funding bodies etc. Note that section numbers are not required for Acknowledgments, Appendix and References.</w:t>
      </w:r>
    </w:p>
    <w:p w14:paraId="02DE3B91" w14:textId="77777777" w:rsidR="004314E4" w:rsidRDefault="004314E4" w:rsidP="004314E4">
      <w:pPr>
        <w:pStyle w:val="Appendix1"/>
      </w:pPr>
      <w:r>
        <w:lastRenderedPageBreak/>
        <w:t>Appendix</w:t>
      </w:r>
    </w:p>
    <w:p w14:paraId="229FCB19" w14:textId="77777777" w:rsidR="004314E4" w:rsidRDefault="004314E4" w:rsidP="004314E4">
      <w:pPr>
        <w:pStyle w:val="BodyText0"/>
      </w:pPr>
      <w:r>
        <w:t>Appendices should be used only when sophisticated technical details are crucial to be included in the paper. If there is more than one appendix, number them alphabetically.</w:t>
      </w:r>
    </w:p>
    <w:p w14:paraId="673F3202" w14:textId="77777777" w:rsidR="004314E4" w:rsidRDefault="004314E4" w:rsidP="004314E4">
      <w:pPr>
        <w:pStyle w:val="Equation"/>
        <w:tabs>
          <w:tab w:val="clear" w:pos="3240"/>
          <w:tab w:val="center" w:pos="3402"/>
        </w:tabs>
      </w:pPr>
      <w:r>
        <w:tab/>
      </w:r>
      <w:r w:rsidR="001E0149">
        <w:rPr>
          <w:noProof/>
        </w:rPr>
        <w:object w:dxaOrig="2740" w:dyaOrig="800" w14:anchorId="4AB99662">
          <v:shape id="Object 7" o:spid="_x0000_i1025" type="#_x0000_t75" alt="" style="width:138.25pt;height:39.75pt;visibility:visible;mso-wrap-style:square;mso-width-percent:0;mso-height-percent:0;mso-width-percent:0;mso-height-percent:0" o:ole="">
            <v:imagedata r:id="rId16" o:title=""/>
          </v:shape>
          <o:OLEObject Type="Embed" ProgID="Unknown" ShapeID="Object 7" DrawAspect="Content" ObjectID="_1679772611" r:id="rId17"/>
        </w:object>
      </w:r>
      <w:r>
        <w:t>.</w:t>
      </w:r>
      <w:r>
        <w:tab/>
        <w:t>(A.1)</w:t>
      </w:r>
    </w:p>
    <w:p w14:paraId="7E6E62D8" w14:textId="77777777" w:rsidR="004314E4" w:rsidRDefault="004314E4" w:rsidP="004314E4">
      <w:pPr>
        <w:pStyle w:val="NonumHead-1"/>
      </w:pPr>
      <w:r>
        <w:t>References</w:t>
      </w:r>
    </w:p>
    <w:p w14:paraId="6BD2FCCA" w14:textId="77777777" w:rsidR="004314E4" w:rsidRDefault="004314E4" w:rsidP="004314E4">
      <w:pPr>
        <w:pStyle w:val="bibitem"/>
      </w:pPr>
      <w:r>
        <w:rPr>
          <w:szCs w:val="19"/>
        </w:rPr>
        <w:t>1.</w:t>
      </w:r>
      <w:r>
        <w:rPr>
          <w:szCs w:val="19"/>
        </w:rPr>
        <w:tab/>
        <w:t xml:space="preserve">M. </w:t>
      </w:r>
      <w:proofErr w:type="spellStart"/>
      <w:r>
        <w:rPr>
          <w:szCs w:val="19"/>
        </w:rPr>
        <w:t>Barranco</w:t>
      </w:r>
      <w:proofErr w:type="spellEnd"/>
      <w:r>
        <w:rPr>
          <w:szCs w:val="19"/>
        </w:rPr>
        <w:t xml:space="preserve"> and J. R. </w:t>
      </w:r>
      <w:proofErr w:type="spellStart"/>
      <w:r>
        <w:rPr>
          <w:szCs w:val="19"/>
        </w:rPr>
        <w:t>Buchler</w:t>
      </w:r>
      <w:proofErr w:type="spellEnd"/>
      <w:r>
        <w:rPr>
          <w:szCs w:val="19"/>
        </w:rPr>
        <w:t xml:space="preserve">, </w:t>
      </w:r>
      <w:r>
        <w:rPr>
          <w:i/>
          <w:szCs w:val="19"/>
        </w:rPr>
        <w:t>Phys. Rev.</w:t>
      </w:r>
      <w:r>
        <w:rPr>
          <w:b/>
          <w:i/>
          <w:szCs w:val="19"/>
        </w:rPr>
        <w:t xml:space="preserve"> </w:t>
      </w:r>
      <w:r>
        <w:rPr>
          <w:b/>
          <w:szCs w:val="19"/>
        </w:rPr>
        <w:t>Cf22</w:t>
      </w:r>
      <w:r>
        <w:rPr>
          <w:szCs w:val="19"/>
        </w:rPr>
        <w:t>, 1729 (1980).</w:t>
      </w:r>
    </w:p>
    <w:p w14:paraId="1838C932" w14:textId="77777777" w:rsidR="004314E4" w:rsidRDefault="004314E4" w:rsidP="004314E4">
      <w:pPr>
        <w:pStyle w:val="bibitem"/>
      </w:pPr>
      <w:r>
        <w:rPr>
          <w:szCs w:val="19"/>
        </w:rPr>
        <w:t>2.</w:t>
      </w:r>
      <w:r>
        <w:rPr>
          <w:szCs w:val="19"/>
        </w:rPr>
        <w:tab/>
        <w:t xml:space="preserve">H. Müller and B. D. </w:t>
      </w:r>
      <w:proofErr w:type="spellStart"/>
      <w:r>
        <w:rPr>
          <w:szCs w:val="19"/>
        </w:rPr>
        <w:t>Serot</w:t>
      </w:r>
      <w:proofErr w:type="spellEnd"/>
      <w:r>
        <w:rPr>
          <w:szCs w:val="19"/>
        </w:rPr>
        <w:t xml:space="preserve">, </w:t>
      </w:r>
      <w:r>
        <w:rPr>
          <w:i/>
          <w:szCs w:val="19"/>
        </w:rPr>
        <w:t xml:space="preserve">Phys. Rev. </w:t>
      </w:r>
      <w:r>
        <w:rPr>
          <w:b/>
          <w:szCs w:val="19"/>
        </w:rPr>
        <w:t>C52</w:t>
      </w:r>
      <w:r>
        <w:rPr>
          <w:szCs w:val="19"/>
        </w:rPr>
        <w:t>, 2072 (1995).</w:t>
      </w:r>
    </w:p>
    <w:p w14:paraId="558B47B9" w14:textId="77777777" w:rsidR="004314E4" w:rsidRDefault="004314E4" w:rsidP="004314E4">
      <w:pPr>
        <w:pStyle w:val="bibitem"/>
      </w:pPr>
      <w:r>
        <w:rPr>
          <w:szCs w:val="19"/>
        </w:rPr>
        <w:t>3.</w:t>
      </w:r>
      <w:r>
        <w:rPr>
          <w:szCs w:val="19"/>
        </w:rPr>
        <w:tab/>
        <w:t xml:space="preserve">V. Baran, M. Colonna, M. Di Toro and A. B. Larionov, </w:t>
      </w:r>
      <w:proofErr w:type="spellStart"/>
      <w:r>
        <w:rPr>
          <w:i/>
          <w:szCs w:val="19"/>
        </w:rPr>
        <w:t>Nucl</w:t>
      </w:r>
      <w:proofErr w:type="spellEnd"/>
      <w:r>
        <w:rPr>
          <w:i/>
          <w:szCs w:val="19"/>
        </w:rPr>
        <w:t>. Phys.</w:t>
      </w:r>
      <w:r>
        <w:rPr>
          <w:szCs w:val="19"/>
        </w:rPr>
        <w:t xml:space="preserve"> </w:t>
      </w:r>
      <w:r>
        <w:rPr>
          <w:b/>
          <w:szCs w:val="19"/>
        </w:rPr>
        <w:t>A632</w:t>
      </w:r>
      <w:r>
        <w:rPr>
          <w:szCs w:val="19"/>
        </w:rPr>
        <w:t>, 287 (1998).</w:t>
      </w:r>
    </w:p>
    <w:p w14:paraId="5B4B65C3" w14:textId="77777777" w:rsidR="004314E4" w:rsidRDefault="004314E4" w:rsidP="004314E4">
      <w:pPr>
        <w:pStyle w:val="bibitem"/>
      </w:pPr>
      <w:r>
        <w:rPr>
          <w:szCs w:val="19"/>
        </w:rPr>
        <w:t>4.</w:t>
      </w:r>
      <w:r>
        <w:rPr>
          <w:szCs w:val="19"/>
        </w:rPr>
        <w:tab/>
        <w:t xml:space="preserve">V. Baran, M. Colonna, M. Di Toro and V. Greco, </w:t>
      </w:r>
      <w:r>
        <w:rPr>
          <w:i/>
          <w:szCs w:val="19"/>
        </w:rPr>
        <w:t xml:space="preserve">Phys. Rev. Lett. </w:t>
      </w:r>
      <w:r>
        <w:rPr>
          <w:b/>
          <w:szCs w:val="19"/>
        </w:rPr>
        <w:t>86</w:t>
      </w:r>
      <w:r>
        <w:rPr>
          <w:szCs w:val="19"/>
        </w:rPr>
        <w:t>, 4492 (2001).</w:t>
      </w:r>
    </w:p>
    <w:p w14:paraId="768BD6B5" w14:textId="77777777" w:rsidR="002D50E6" w:rsidRDefault="002D50E6"/>
    <w:sectPr w:rsidR="002D50E6" w:rsidSect="00100E30">
      <w:headerReference w:type="default" r:id="rId18"/>
      <w:headerReference w:type="first" r:id="rId19"/>
      <w:footnotePr>
        <w:numFmt w:val="chicago"/>
      </w:footnotePr>
      <w:pgSz w:w="11909" w:h="16834" w:code="9"/>
      <w:pgMar w:top="2155" w:right="2155" w:bottom="2155" w:left="2155"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1A25E" w14:textId="77777777" w:rsidR="001E0149" w:rsidRDefault="001E0149" w:rsidP="004314E4">
      <w:r>
        <w:separator/>
      </w:r>
    </w:p>
  </w:endnote>
  <w:endnote w:type="continuationSeparator" w:id="0">
    <w:p w14:paraId="25165199" w14:textId="77777777" w:rsidR="001E0149" w:rsidRDefault="001E0149" w:rsidP="0043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IG5黑体">
    <w:altName w:val="Arial Unicode MS"/>
    <w:panose1 w:val="020B0604020202020204"/>
    <w:charset w:val="86"/>
    <w:family w:val="roman"/>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8AEC1" w14:textId="77777777" w:rsidR="001E0149" w:rsidRDefault="001E0149" w:rsidP="004314E4">
      <w:r>
        <w:separator/>
      </w:r>
    </w:p>
  </w:footnote>
  <w:footnote w:type="continuationSeparator" w:id="0">
    <w:p w14:paraId="0025706D" w14:textId="77777777" w:rsidR="001E0149" w:rsidRDefault="001E0149" w:rsidP="004314E4">
      <w:r>
        <w:continuationSeparator/>
      </w:r>
    </w:p>
  </w:footnote>
  <w:footnote w:id="1">
    <w:p w14:paraId="23B647DB" w14:textId="77777777" w:rsidR="004314E4" w:rsidRDefault="004314E4" w:rsidP="004314E4">
      <w:pPr>
        <w:pStyle w:val="FootnoteText"/>
      </w:pPr>
      <w:r>
        <w:rPr>
          <w:rStyle w:val="FootnoteReference"/>
        </w:rPr>
        <w:t>b</w:t>
      </w:r>
      <w:r>
        <w:t xml:space="preserve"> Just like this one.</w:t>
      </w:r>
    </w:p>
  </w:footnote>
  <w:footnote w:id="2">
    <w:p w14:paraId="22EF54D5" w14:textId="77777777" w:rsidR="004314E4" w:rsidRDefault="004314E4" w:rsidP="004314E4">
      <w:pPr>
        <w:pStyle w:val="FootnoteText"/>
      </w:pPr>
      <w:r>
        <w:rPr>
          <w:rStyle w:val="FootnoteReference"/>
        </w:rPr>
        <w:t>c</w:t>
      </w:r>
      <w:r>
        <w:rPr>
          <w:szCs w:val="15"/>
        </w:rPr>
        <w:t> </w:t>
      </w:r>
      <w:r>
        <w:t xml:space="preserve">An example of a matrix which has elements containing the phase variable </w:t>
      </w:r>
      <w:proofErr w:type="spellStart"/>
      <w:r>
        <w:rPr>
          <w:i/>
        </w:rPr>
        <w:t>e</w:t>
      </w:r>
      <w:r>
        <w:rPr>
          <w:i/>
          <w:vertAlign w:val="superscript"/>
        </w:rPr>
        <w:t>i</w:t>
      </w:r>
      <w:proofErr w:type="spellEnd"/>
      <w:r>
        <w:rPr>
          <w:rFonts w:ascii="Symbol" w:eastAsia="Symbol" w:hAnsi="Symbol" w:cs="Symbol"/>
          <w:i/>
          <w:vertAlign w:val="superscript"/>
        </w:rPr>
        <w:t></w:t>
      </w:r>
      <w:r>
        <w:t xml:space="preserve"> to second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F6C7" w14:textId="77777777" w:rsidR="000A0005" w:rsidRDefault="001E0149">
    <w:pPr>
      <w:pStyle w:val="Header"/>
      <w:spacing w:after="260"/>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2473" w14:textId="5036D379" w:rsidR="00CA6506" w:rsidRPr="00337E8E" w:rsidRDefault="00CA6506" w:rsidP="00CA6506">
    <w:pPr>
      <w:pStyle w:val="Header"/>
      <w:rPr>
        <w:sz w:val="18"/>
        <w:szCs w:val="18"/>
      </w:rPr>
    </w:pPr>
    <w:r w:rsidRPr="00337E8E">
      <w:rPr>
        <w:sz w:val="18"/>
        <w:szCs w:val="18"/>
      </w:rPr>
      <w:t>ICRES 20</w:t>
    </w:r>
    <w:r w:rsidR="00916B5F">
      <w:rPr>
        <w:sz w:val="18"/>
        <w:szCs w:val="18"/>
      </w:rPr>
      <w:t>2</w:t>
    </w:r>
    <w:r w:rsidR="00AA4EA6">
      <w:rPr>
        <w:sz w:val="18"/>
        <w:szCs w:val="18"/>
      </w:rPr>
      <w:t>1</w:t>
    </w:r>
    <w:r w:rsidRPr="00337E8E">
      <w:rPr>
        <w:sz w:val="18"/>
        <w:szCs w:val="18"/>
      </w:rPr>
      <w:t xml:space="preserve">: </w:t>
    </w:r>
    <w:r w:rsidR="00AA4EA6">
      <w:rPr>
        <w:sz w:val="18"/>
        <w:szCs w:val="18"/>
      </w:rPr>
      <w:t>6</w:t>
    </w:r>
    <w:r w:rsidR="00916B5F">
      <w:rPr>
        <w:sz w:val="18"/>
        <w:szCs w:val="18"/>
      </w:rPr>
      <w:t xml:space="preserve">th </w:t>
    </w:r>
    <w:r w:rsidRPr="00337E8E">
      <w:rPr>
        <w:sz w:val="18"/>
        <w:szCs w:val="18"/>
      </w:rPr>
      <w:t>International Conference on Robot</w:t>
    </w:r>
  </w:p>
  <w:p w14:paraId="16C82E1D" w14:textId="5E0AF0FA" w:rsidR="000A0005" w:rsidRDefault="00CA6506" w:rsidP="00CA6506">
    <w:pPr>
      <w:pStyle w:val="Header"/>
      <w:rPr>
        <w:sz w:val="18"/>
        <w:szCs w:val="18"/>
      </w:rPr>
    </w:pPr>
    <w:r w:rsidRPr="00337E8E">
      <w:rPr>
        <w:sz w:val="18"/>
        <w:szCs w:val="18"/>
      </w:rPr>
      <w:t xml:space="preserve">Ethics and Standards, </w:t>
    </w:r>
    <w:r w:rsidR="00AA4EA6">
      <w:rPr>
        <w:sz w:val="18"/>
        <w:szCs w:val="18"/>
      </w:rPr>
      <w:t>New York</w:t>
    </w:r>
    <w:r w:rsidRPr="00337E8E">
      <w:rPr>
        <w:sz w:val="18"/>
        <w:szCs w:val="18"/>
      </w:rPr>
      <w:t xml:space="preserve">, </w:t>
    </w:r>
    <w:r w:rsidR="00AA4EA6">
      <w:rPr>
        <w:sz w:val="18"/>
        <w:szCs w:val="18"/>
      </w:rPr>
      <w:t>USA</w:t>
    </w:r>
    <w:r w:rsidRPr="00337E8E">
      <w:rPr>
        <w:sz w:val="18"/>
        <w:szCs w:val="18"/>
      </w:rPr>
      <w:t>, 2</w:t>
    </w:r>
    <w:r w:rsidR="00AA4EA6">
      <w:rPr>
        <w:sz w:val="18"/>
        <w:szCs w:val="18"/>
      </w:rPr>
      <w:t>6</w:t>
    </w:r>
    <w:r w:rsidRPr="00337E8E">
      <w:rPr>
        <w:sz w:val="18"/>
        <w:szCs w:val="18"/>
      </w:rPr>
      <w:t>-</w:t>
    </w:r>
    <w:r w:rsidR="00916B5F">
      <w:rPr>
        <w:sz w:val="18"/>
        <w:szCs w:val="18"/>
      </w:rPr>
      <w:t>2</w:t>
    </w:r>
    <w:r w:rsidR="00AA4EA6">
      <w:rPr>
        <w:sz w:val="18"/>
        <w:szCs w:val="18"/>
      </w:rPr>
      <w:t>7</w:t>
    </w:r>
    <w:r w:rsidRPr="00337E8E">
      <w:rPr>
        <w:sz w:val="18"/>
        <w:szCs w:val="18"/>
      </w:rPr>
      <w:t xml:space="preserve"> </w:t>
    </w:r>
    <w:r w:rsidR="00AA4EA6">
      <w:rPr>
        <w:sz w:val="18"/>
        <w:szCs w:val="18"/>
      </w:rPr>
      <w:t>July</w:t>
    </w:r>
    <w:r w:rsidRPr="00337E8E">
      <w:rPr>
        <w:sz w:val="18"/>
        <w:szCs w:val="18"/>
      </w:rPr>
      <w:t xml:space="preserve"> 20</w:t>
    </w:r>
    <w:r w:rsidR="00916B5F">
      <w:rPr>
        <w:sz w:val="18"/>
        <w:szCs w:val="18"/>
      </w:rPr>
      <w:t>2</w:t>
    </w:r>
    <w:r w:rsidR="00AA4EA6">
      <w:rPr>
        <w:sz w:val="18"/>
        <w:szCs w:val="18"/>
      </w:rPr>
      <w:t>1</w:t>
    </w:r>
    <w:r w:rsidRPr="00337E8E">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3531C"/>
    <w:multiLevelType w:val="multilevel"/>
    <w:tmpl w:val="47261334"/>
    <w:styleLink w:val="LFO23"/>
    <w:lvl w:ilvl="0">
      <w:numFmt w:val="bullet"/>
      <w:pStyle w:val="List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5D86A3E"/>
    <w:multiLevelType w:val="multilevel"/>
    <w:tmpl w:val="4A309124"/>
    <w:styleLink w:val="WWOutlineListStyle"/>
    <w:lvl w:ilvl="0">
      <w:start w:val="1"/>
      <w:numFmt w:val="decimal"/>
      <w:pStyle w:val="Heading1"/>
      <w:lvlText w:val="%1.   "/>
      <w:lvlJc w:val="left"/>
      <w:pPr>
        <w:ind w:left="360" w:hanging="360"/>
      </w:pPr>
      <w:rPr>
        <w:rFonts w:ascii="Times New Roman" w:hAnsi="Times New Roman"/>
        <w:b/>
        <w:i w:val="0"/>
        <w:sz w:val="20"/>
      </w:rPr>
    </w:lvl>
    <w:lvl w:ilvl="1">
      <w:start w:val="1"/>
      <w:numFmt w:val="decimal"/>
      <w:pStyle w:val="Heading2"/>
      <w:lvlText w:val="%1.%2.   "/>
      <w:lvlJc w:val="left"/>
      <w:pPr>
        <w:ind w:left="360" w:hanging="360"/>
      </w:pPr>
      <w:rPr>
        <w:b/>
        <w:i w:val="0"/>
      </w:rPr>
    </w:lvl>
    <w:lvl w:ilvl="2">
      <w:start w:val="1"/>
      <w:numFmt w:val="decimal"/>
      <w:pStyle w:val="Heading3"/>
      <w:lvlText w:val="%1.%2.%3.   "/>
      <w:lvlJc w:val="left"/>
      <w:pPr>
        <w:ind w:left="720" w:hanging="720"/>
      </w:pPr>
      <w:rPr>
        <w:rFonts w:ascii="Times New Roman" w:hAnsi="Times New Roman"/>
        <w:b w:val="0"/>
        <w:i w:val="0"/>
        <w:sz w:val="2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6987B66"/>
    <w:multiLevelType w:val="multilevel"/>
    <w:tmpl w:val="8814CEE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E4"/>
    <w:rsid w:val="00010ED2"/>
    <w:rsid w:val="000C0770"/>
    <w:rsid w:val="001E0149"/>
    <w:rsid w:val="001F04F2"/>
    <w:rsid w:val="00297018"/>
    <w:rsid w:val="002D50E6"/>
    <w:rsid w:val="002D7A04"/>
    <w:rsid w:val="00386F43"/>
    <w:rsid w:val="003942DF"/>
    <w:rsid w:val="004314E4"/>
    <w:rsid w:val="00441A71"/>
    <w:rsid w:val="004D4646"/>
    <w:rsid w:val="004D6A4D"/>
    <w:rsid w:val="00572696"/>
    <w:rsid w:val="00653D48"/>
    <w:rsid w:val="00900468"/>
    <w:rsid w:val="00916B5F"/>
    <w:rsid w:val="00A57292"/>
    <w:rsid w:val="00AA4EA6"/>
    <w:rsid w:val="00BC6C73"/>
    <w:rsid w:val="00CA6506"/>
    <w:rsid w:val="00D41CBE"/>
    <w:rsid w:val="00DB01B6"/>
    <w:rsid w:val="00EB79FF"/>
    <w:rsid w:val="00EF6A17"/>
    <w:rsid w:val="00F62764"/>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E0C1"/>
  <w15:chartTrackingRefBased/>
  <w15:docId w15:val="{6A699E5B-A4C1-495C-9167-26959BE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4E4"/>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spara"/>
    <w:link w:val="Heading1Char"/>
    <w:rsid w:val="004314E4"/>
    <w:pPr>
      <w:keepNext/>
      <w:keepLines/>
      <w:numPr>
        <w:numId w:val="1"/>
      </w:numPr>
      <w:spacing w:before="240" w:after="120" w:line="260" w:lineRule="exact"/>
      <w:ind w:right="360"/>
      <w:outlineLvl w:val="0"/>
    </w:pPr>
    <w:rPr>
      <w:b/>
      <w:kern w:val="3"/>
    </w:rPr>
  </w:style>
  <w:style w:type="paragraph" w:styleId="Heading2">
    <w:name w:val="heading 2"/>
    <w:basedOn w:val="Normal"/>
    <w:next w:val="spara"/>
    <w:link w:val="Heading2Char"/>
    <w:rsid w:val="004314E4"/>
    <w:pPr>
      <w:keepNext/>
      <w:numPr>
        <w:ilvl w:val="1"/>
        <w:numId w:val="1"/>
      </w:numPr>
      <w:spacing w:before="240" w:after="120" w:line="260" w:lineRule="exact"/>
      <w:ind w:right="360"/>
      <w:outlineLvl w:val="1"/>
    </w:pPr>
    <w:rPr>
      <w:b/>
      <w:i/>
    </w:rPr>
  </w:style>
  <w:style w:type="paragraph" w:styleId="Heading3">
    <w:name w:val="heading 3"/>
    <w:basedOn w:val="Normal"/>
    <w:next w:val="spara"/>
    <w:link w:val="Heading3Char"/>
    <w:rsid w:val="004314E4"/>
    <w:pPr>
      <w:keepNext/>
      <w:keepLines/>
      <w:numPr>
        <w:ilvl w:val="2"/>
        <w:numId w:val="1"/>
      </w:numPr>
      <w:spacing w:before="240" w:after="120" w:line="260" w:lineRule="exact"/>
      <w:ind w:right="360"/>
      <w:outlineLvl w:val="2"/>
    </w:pPr>
    <w:rPr>
      <w:rFonts w:eastAsia="BIG5黑体"/>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4E4"/>
    <w:rPr>
      <w:rFonts w:ascii="Times New Roman" w:eastAsia="Times New Roman" w:hAnsi="Times New Roman" w:cs="Times New Roman"/>
      <w:b/>
      <w:kern w:val="3"/>
      <w:sz w:val="20"/>
      <w:szCs w:val="20"/>
      <w:lang w:val="en-US"/>
    </w:rPr>
  </w:style>
  <w:style w:type="character" w:customStyle="1" w:styleId="Heading2Char">
    <w:name w:val="Heading 2 Char"/>
    <w:basedOn w:val="DefaultParagraphFont"/>
    <w:link w:val="Heading2"/>
    <w:rsid w:val="004314E4"/>
    <w:rPr>
      <w:rFonts w:ascii="Times New Roman" w:eastAsia="Times New Roman" w:hAnsi="Times New Roman" w:cs="Times New Roman"/>
      <w:b/>
      <w:i/>
      <w:sz w:val="20"/>
      <w:szCs w:val="20"/>
      <w:lang w:val="en-US"/>
    </w:rPr>
  </w:style>
  <w:style w:type="character" w:customStyle="1" w:styleId="Heading3Char">
    <w:name w:val="Heading 3 Char"/>
    <w:basedOn w:val="DefaultParagraphFont"/>
    <w:link w:val="Heading3"/>
    <w:rsid w:val="004314E4"/>
    <w:rPr>
      <w:rFonts w:ascii="Times New Roman" w:eastAsia="BIG5黑体" w:hAnsi="Times New Roman" w:cs="Times New Roman"/>
      <w:i/>
      <w:sz w:val="20"/>
      <w:szCs w:val="20"/>
      <w:lang w:val="en-US" w:eastAsia="zh-CN"/>
    </w:rPr>
  </w:style>
  <w:style w:type="numbering" w:customStyle="1" w:styleId="WWOutlineListStyle">
    <w:name w:val="WW_OutlineListStyle"/>
    <w:basedOn w:val="NoList"/>
    <w:rsid w:val="004314E4"/>
    <w:pPr>
      <w:numPr>
        <w:numId w:val="1"/>
      </w:numPr>
    </w:pPr>
  </w:style>
  <w:style w:type="paragraph" w:customStyle="1" w:styleId="spara">
    <w:name w:val="spara"/>
    <w:basedOn w:val="Normal"/>
    <w:next w:val="Normal"/>
    <w:rsid w:val="004314E4"/>
    <w:pPr>
      <w:spacing w:line="260" w:lineRule="exact"/>
      <w:jc w:val="both"/>
    </w:pPr>
  </w:style>
  <w:style w:type="paragraph" w:customStyle="1" w:styleId="BodyText0">
    <w:name w:val="Body Text 0"/>
    <w:basedOn w:val="BodyText"/>
    <w:next w:val="BodyText"/>
    <w:rsid w:val="004314E4"/>
    <w:pPr>
      <w:autoSpaceDE w:val="0"/>
      <w:spacing w:after="0"/>
      <w:jc w:val="both"/>
    </w:pPr>
    <w:rPr>
      <w:szCs w:val="24"/>
    </w:rPr>
  </w:style>
  <w:style w:type="paragraph" w:customStyle="1" w:styleId="Author">
    <w:name w:val="Author"/>
    <w:basedOn w:val="Normal"/>
    <w:next w:val="Affiliation"/>
    <w:rsid w:val="004314E4"/>
    <w:pPr>
      <w:keepNext/>
      <w:keepLines/>
      <w:jc w:val="center"/>
    </w:pPr>
    <w:rPr>
      <w:caps/>
      <w:sz w:val="18"/>
    </w:rPr>
  </w:style>
  <w:style w:type="paragraph" w:customStyle="1" w:styleId="Affiliation">
    <w:name w:val="Affiliation"/>
    <w:basedOn w:val="Normal"/>
    <w:next w:val="Abstract"/>
    <w:rsid w:val="004314E4"/>
    <w:pPr>
      <w:spacing w:before="60" w:after="320"/>
      <w:jc w:val="center"/>
    </w:pPr>
    <w:rPr>
      <w:i/>
      <w:sz w:val="18"/>
    </w:rPr>
  </w:style>
  <w:style w:type="paragraph" w:customStyle="1" w:styleId="Abstract">
    <w:name w:val="Abstract"/>
    <w:basedOn w:val="Normal"/>
    <w:next w:val="Heading1"/>
    <w:rsid w:val="004314E4"/>
    <w:pPr>
      <w:spacing w:before="120" w:after="120" w:line="200" w:lineRule="atLeast"/>
      <w:ind w:left="360" w:right="360"/>
      <w:jc w:val="both"/>
    </w:pPr>
    <w:rPr>
      <w:sz w:val="16"/>
    </w:rPr>
  </w:style>
  <w:style w:type="paragraph" w:styleId="Title">
    <w:name w:val="Title"/>
    <w:basedOn w:val="Normal"/>
    <w:next w:val="Author"/>
    <w:link w:val="TitleChar"/>
    <w:rsid w:val="004314E4"/>
    <w:pPr>
      <w:keepNext/>
      <w:keepLines/>
      <w:pageBreakBefore/>
      <w:spacing w:before="1220" w:after="400"/>
      <w:jc w:val="center"/>
    </w:pPr>
    <w:rPr>
      <w:b/>
      <w:caps/>
      <w:kern w:val="3"/>
      <w:sz w:val="22"/>
    </w:rPr>
  </w:style>
  <w:style w:type="character" w:customStyle="1" w:styleId="TitleChar">
    <w:name w:val="Title Char"/>
    <w:basedOn w:val="DefaultParagraphFont"/>
    <w:link w:val="Title"/>
    <w:rsid w:val="004314E4"/>
    <w:rPr>
      <w:rFonts w:ascii="Times New Roman" w:eastAsia="Times New Roman" w:hAnsi="Times New Roman" w:cs="Times New Roman"/>
      <w:b/>
      <w:caps/>
      <w:kern w:val="3"/>
      <w:szCs w:val="20"/>
      <w:lang w:val="en-US"/>
    </w:rPr>
  </w:style>
  <w:style w:type="paragraph" w:styleId="ListNumber">
    <w:name w:val="List Number"/>
    <w:basedOn w:val="Normal"/>
    <w:rsid w:val="004314E4"/>
    <w:pPr>
      <w:ind w:left="360" w:hanging="360"/>
      <w:jc w:val="both"/>
    </w:pPr>
  </w:style>
  <w:style w:type="paragraph" w:styleId="ListBullet">
    <w:name w:val="List Bullet"/>
    <w:basedOn w:val="Normal"/>
    <w:rsid w:val="004314E4"/>
    <w:pPr>
      <w:numPr>
        <w:numId w:val="2"/>
      </w:numPr>
      <w:spacing w:line="260" w:lineRule="exact"/>
      <w:jc w:val="both"/>
    </w:pPr>
  </w:style>
  <w:style w:type="paragraph" w:styleId="Caption">
    <w:name w:val="caption"/>
    <w:basedOn w:val="Normal"/>
    <w:next w:val="Normal"/>
    <w:rsid w:val="004314E4"/>
    <w:pPr>
      <w:spacing w:line="200" w:lineRule="exact"/>
      <w:jc w:val="both"/>
    </w:pPr>
    <w:rPr>
      <w:sz w:val="16"/>
    </w:rPr>
  </w:style>
  <w:style w:type="paragraph" w:customStyle="1" w:styleId="NonumHead-1">
    <w:name w:val="NonumHead-1"/>
    <w:basedOn w:val="Normal"/>
    <w:next w:val="Normal"/>
    <w:rsid w:val="004314E4"/>
    <w:pPr>
      <w:keepNext/>
      <w:spacing w:before="240" w:after="120" w:line="260" w:lineRule="exact"/>
      <w:ind w:right="360"/>
    </w:pPr>
    <w:rPr>
      <w:b/>
    </w:rPr>
  </w:style>
  <w:style w:type="paragraph" w:customStyle="1" w:styleId="bibitem">
    <w:name w:val="bibitem"/>
    <w:basedOn w:val="ListNumber"/>
    <w:rsid w:val="004314E4"/>
  </w:style>
  <w:style w:type="paragraph" w:styleId="Header">
    <w:name w:val="header"/>
    <w:basedOn w:val="Normal"/>
    <w:link w:val="HeaderChar"/>
    <w:rsid w:val="004314E4"/>
    <w:pPr>
      <w:tabs>
        <w:tab w:val="center" w:pos="4320"/>
        <w:tab w:val="right" w:pos="8640"/>
      </w:tabs>
    </w:pPr>
  </w:style>
  <w:style w:type="character" w:customStyle="1" w:styleId="HeaderChar">
    <w:name w:val="Header Char"/>
    <w:basedOn w:val="DefaultParagraphFont"/>
    <w:link w:val="Header"/>
    <w:rsid w:val="004314E4"/>
    <w:rPr>
      <w:rFonts w:ascii="Times New Roman" w:eastAsia="Times New Roman" w:hAnsi="Times New Roman" w:cs="Times New Roman"/>
      <w:sz w:val="20"/>
      <w:szCs w:val="20"/>
      <w:lang w:val="en-US"/>
    </w:rPr>
  </w:style>
  <w:style w:type="paragraph" w:styleId="Footer">
    <w:name w:val="footer"/>
    <w:basedOn w:val="Normal"/>
    <w:link w:val="FooterChar"/>
    <w:rsid w:val="004314E4"/>
    <w:pPr>
      <w:tabs>
        <w:tab w:val="center" w:pos="4320"/>
        <w:tab w:val="right" w:pos="8640"/>
      </w:tabs>
    </w:pPr>
  </w:style>
  <w:style w:type="character" w:customStyle="1" w:styleId="FooterChar">
    <w:name w:val="Footer Char"/>
    <w:basedOn w:val="DefaultParagraphFont"/>
    <w:link w:val="Footer"/>
    <w:rsid w:val="004314E4"/>
    <w:rPr>
      <w:rFonts w:ascii="Times New Roman" w:eastAsia="Times New Roman" w:hAnsi="Times New Roman" w:cs="Times New Roman"/>
      <w:sz w:val="20"/>
      <w:szCs w:val="20"/>
      <w:lang w:val="en-US"/>
    </w:rPr>
  </w:style>
  <w:style w:type="paragraph" w:styleId="FootnoteText">
    <w:name w:val="footnote text"/>
    <w:basedOn w:val="Normal"/>
    <w:link w:val="FootnoteTextChar"/>
    <w:rsid w:val="004314E4"/>
    <w:pPr>
      <w:spacing w:line="200" w:lineRule="exact"/>
      <w:ind w:left="144" w:hanging="144"/>
      <w:jc w:val="both"/>
    </w:pPr>
    <w:rPr>
      <w:sz w:val="16"/>
    </w:rPr>
  </w:style>
  <w:style w:type="character" w:customStyle="1" w:styleId="FootnoteTextChar">
    <w:name w:val="Footnote Text Char"/>
    <w:basedOn w:val="DefaultParagraphFont"/>
    <w:link w:val="FootnoteText"/>
    <w:rsid w:val="004314E4"/>
    <w:rPr>
      <w:rFonts w:ascii="Times New Roman" w:eastAsia="Times New Roman" w:hAnsi="Times New Roman" w:cs="Times New Roman"/>
      <w:sz w:val="16"/>
      <w:szCs w:val="20"/>
      <w:lang w:val="en-US"/>
    </w:rPr>
  </w:style>
  <w:style w:type="character" w:styleId="FootnoteReference">
    <w:name w:val="footnote reference"/>
    <w:rsid w:val="004314E4"/>
    <w:rPr>
      <w:position w:val="0"/>
      <w:vertAlign w:val="superscript"/>
    </w:rPr>
  </w:style>
  <w:style w:type="paragraph" w:customStyle="1" w:styleId="Equation">
    <w:name w:val="Equation"/>
    <w:basedOn w:val="Normal"/>
    <w:next w:val="Normal"/>
    <w:autoRedefine/>
    <w:rsid w:val="004314E4"/>
    <w:pPr>
      <w:tabs>
        <w:tab w:val="center" w:pos="3240"/>
        <w:tab w:val="right" w:pos="9072"/>
      </w:tabs>
      <w:autoSpaceDE w:val="0"/>
      <w:spacing w:before="120" w:after="120"/>
    </w:pPr>
  </w:style>
  <w:style w:type="paragraph" w:customStyle="1" w:styleId="TextIndent">
    <w:name w:val="Text Indent"/>
    <w:rsid w:val="004314E4"/>
    <w:pPr>
      <w:suppressAutoHyphens/>
      <w:autoSpaceDN w:val="0"/>
      <w:spacing w:after="0" w:line="260" w:lineRule="exact"/>
      <w:ind w:firstLine="360"/>
      <w:jc w:val="both"/>
      <w:textAlignment w:val="baseline"/>
    </w:pPr>
    <w:rPr>
      <w:rFonts w:ascii="Times New Roman" w:eastAsia="Times New Roman" w:hAnsi="Times New Roman" w:cs="Times New Roman"/>
      <w:sz w:val="20"/>
      <w:szCs w:val="20"/>
      <w:lang w:val="en-US"/>
    </w:rPr>
  </w:style>
  <w:style w:type="paragraph" w:customStyle="1" w:styleId="Appendix1">
    <w:name w:val="Appendix 1"/>
    <w:basedOn w:val="Normal"/>
    <w:next w:val="BodyText0"/>
    <w:rsid w:val="004314E4"/>
    <w:pPr>
      <w:keepNext/>
      <w:keepLines/>
      <w:autoSpaceDE w:val="0"/>
      <w:spacing w:before="240" w:after="120" w:line="260" w:lineRule="exact"/>
      <w:ind w:left="302" w:hanging="302"/>
      <w:outlineLvl w:val="0"/>
    </w:pPr>
    <w:rPr>
      <w:b/>
      <w:szCs w:val="24"/>
    </w:rPr>
  </w:style>
  <w:style w:type="numbering" w:customStyle="1" w:styleId="LFO23">
    <w:name w:val="LFO23"/>
    <w:basedOn w:val="NoList"/>
    <w:rsid w:val="004314E4"/>
    <w:pPr>
      <w:numPr>
        <w:numId w:val="2"/>
      </w:numPr>
    </w:pPr>
  </w:style>
  <w:style w:type="paragraph" w:styleId="BodyText">
    <w:name w:val="Body Text"/>
    <w:basedOn w:val="Normal"/>
    <w:link w:val="BodyTextChar"/>
    <w:uiPriority w:val="99"/>
    <w:semiHidden/>
    <w:unhideWhenUsed/>
    <w:rsid w:val="004314E4"/>
    <w:pPr>
      <w:spacing w:after="120"/>
    </w:pPr>
  </w:style>
  <w:style w:type="character" w:customStyle="1" w:styleId="BodyTextChar">
    <w:name w:val="Body Text Char"/>
    <w:basedOn w:val="DefaultParagraphFont"/>
    <w:link w:val="BodyText"/>
    <w:uiPriority w:val="99"/>
    <w:semiHidden/>
    <w:rsid w:val="004314E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CLAWAR Association Template</vt:lpstr>
      <vt:lpstr>CLAWAR Association Template</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CLAWAR Association Template</dc:title>
  <dc:subject/>
  <dc:creator>Manuel Silva</dc:creator>
  <cp:keywords/>
  <dc:description>Template for ICRES Conference series</dc:description>
  <cp:lastModifiedBy>Abdullah Mohammad AlMeshal</cp:lastModifiedBy>
  <cp:revision>2</cp:revision>
  <dcterms:created xsi:type="dcterms:W3CDTF">2021-04-12T19:44:00Z</dcterms:created>
  <dcterms:modified xsi:type="dcterms:W3CDTF">2021-04-12T19:44:00Z</dcterms:modified>
</cp:coreProperties>
</file>